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3F43F" w14:textId="77777777" w:rsidR="00A91A4A" w:rsidRDefault="00C52AC9" w:rsidP="00E61499">
      <w:pPr>
        <w:widowControl/>
        <w:rPr>
          <w:rFonts w:ascii="黑体" w:eastAsia="黑体" w:hAnsi="黑体" w:cs="黑体" w:hint="eastAsia"/>
        </w:rPr>
      </w:pPr>
      <w:r>
        <w:rPr>
          <w:rFonts w:ascii="Times New Roman" w:eastAsia="黑体" w:hAnsi="Times New Roman" w:hint="eastAsia"/>
          <w:color w:val="000000"/>
          <w:kern w:val="0"/>
          <w:sz w:val="32"/>
          <w:szCs w:val="32"/>
        </w:rPr>
        <w:t xml:space="preserve">　</w:t>
      </w:r>
      <w:r w:rsidR="00670D99">
        <w:rPr>
          <w:rFonts w:ascii="黑体" w:eastAsia="黑体" w:hAnsi="黑体" w:cs="黑体" w:hint="eastAsia"/>
        </w:rPr>
        <w:t>ICS 65.020</w:t>
      </w:r>
    </w:p>
    <w:p w14:paraId="3EADCD62" w14:textId="77777777" w:rsidR="00A91A4A" w:rsidRDefault="00670D99">
      <w:pPr>
        <w:rPr>
          <w:rFonts w:ascii="黑体" w:eastAsia="黑体" w:hAnsi="黑体" w:cs="黑体" w:hint="eastAsia"/>
        </w:rPr>
      </w:pPr>
      <w:r>
        <w:rPr>
          <w:rFonts w:ascii="黑体" w:eastAsia="黑体" w:hAnsi="黑体" w:cs="黑体" w:hint="eastAsia"/>
        </w:rPr>
        <w:t xml:space="preserve">CCS </w:t>
      </w:r>
    </w:p>
    <w:p w14:paraId="2CAD00CB" w14:textId="77777777" w:rsidR="00C52AC9" w:rsidRDefault="00C52AC9" w:rsidP="00C52AC9">
      <w:pPr>
        <w:pStyle w:val="a6"/>
        <w:framePr w:w="0" w:hRule="auto" w:hSpace="0" w:vSpace="0" w:wrap="auto" w:hAnchor="text" w:xAlign="left" w:yAlign="inline"/>
        <w:spacing w:beforeLines="50" w:before="156" w:afterLines="100" w:after="312"/>
        <w:ind w:right="628"/>
        <w:rPr>
          <w:rFonts w:eastAsia="黑体"/>
          <w:b w:val="0"/>
          <w:spacing w:val="57"/>
          <w:sz w:val="52"/>
          <w:szCs w:val="52"/>
        </w:rPr>
      </w:pPr>
    </w:p>
    <w:p w14:paraId="04043D92" w14:textId="77777777" w:rsidR="00A91A4A" w:rsidRPr="00E61499" w:rsidRDefault="00670D99" w:rsidP="00C52AC9">
      <w:pPr>
        <w:pStyle w:val="a6"/>
        <w:framePr w:w="0" w:hRule="auto" w:hSpace="0" w:vSpace="0" w:wrap="auto" w:hAnchor="text" w:xAlign="left" w:yAlign="inline"/>
        <w:spacing w:beforeLines="50" w:before="156" w:afterLines="100" w:after="312"/>
        <w:ind w:right="628"/>
        <w:rPr>
          <w:rFonts w:ascii="黑体" w:eastAsia="黑体" w:hAnsi="黑体" w:hint="eastAsia"/>
          <w:b w:val="0"/>
          <w:w w:val="130"/>
          <w:sz w:val="52"/>
          <w:szCs w:val="52"/>
        </w:rPr>
      </w:pPr>
      <w:r>
        <w:rPr>
          <w:rFonts w:eastAsia="黑体" w:hint="eastAsia"/>
          <w:b w:val="0"/>
          <w:spacing w:val="57"/>
          <w:sz w:val="52"/>
          <w:szCs w:val="52"/>
        </w:rPr>
        <w:t xml:space="preserve">         </w:t>
      </w:r>
      <w:r w:rsidR="00C52AC9" w:rsidRPr="00E61499">
        <w:rPr>
          <w:rFonts w:ascii="黑体" w:eastAsia="黑体" w:hAnsi="黑体" w:hint="eastAsia"/>
          <w:b w:val="0"/>
          <w:spacing w:val="57"/>
          <w:sz w:val="52"/>
          <w:szCs w:val="52"/>
        </w:rPr>
        <w:t>T/JSBFA</w:t>
      </w:r>
    </w:p>
    <w:p w14:paraId="31BACB01" w14:textId="77777777" w:rsidR="00A91A4A" w:rsidRDefault="00C52AC9" w:rsidP="00C52AC9">
      <w:pPr>
        <w:autoSpaceDE w:val="0"/>
        <w:autoSpaceDN w:val="0"/>
        <w:adjustRightInd w:val="0"/>
        <w:ind w:leftChars="200" w:left="420"/>
        <w:rPr>
          <w:rFonts w:eastAsia="黑体"/>
          <w:spacing w:val="100"/>
          <w:kern w:val="0"/>
          <w:sz w:val="44"/>
          <w:szCs w:val="44"/>
        </w:rPr>
      </w:pPr>
      <w:r w:rsidRPr="00E61499">
        <w:rPr>
          <w:rFonts w:eastAsia="黑体" w:hint="eastAsia"/>
          <w:spacing w:val="20"/>
          <w:kern w:val="0"/>
          <w:sz w:val="56"/>
          <w:szCs w:val="56"/>
          <w:fitText w:val="8960" w:id="-901094656"/>
        </w:rPr>
        <w:t>江苏省测土配方施肥协会</w:t>
      </w:r>
      <w:r w:rsidR="00421585" w:rsidRPr="00E61499">
        <w:rPr>
          <w:rFonts w:eastAsia="黑体" w:hint="eastAsia"/>
          <w:spacing w:val="20"/>
          <w:kern w:val="0"/>
          <w:sz w:val="56"/>
          <w:szCs w:val="56"/>
          <w:fitText w:val="8960" w:id="-901094656"/>
        </w:rPr>
        <w:t>团体</w:t>
      </w:r>
      <w:r w:rsidR="00670D99" w:rsidRPr="00E61499">
        <w:rPr>
          <w:rFonts w:eastAsia="黑体"/>
          <w:spacing w:val="20"/>
          <w:kern w:val="0"/>
          <w:sz w:val="56"/>
          <w:szCs w:val="56"/>
          <w:fitText w:val="8960" w:id="-901094656"/>
        </w:rPr>
        <w:t>标</w:t>
      </w:r>
      <w:r w:rsidR="00670D99" w:rsidRPr="00E61499">
        <w:rPr>
          <w:rFonts w:eastAsia="黑体"/>
          <w:kern w:val="0"/>
          <w:sz w:val="56"/>
          <w:szCs w:val="56"/>
          <w:fitText w:val="8960" w:id="-901094656"/>
        </w:rPr>
        <w:t>准</w:t>
      </w:r>
    </w:p>
    <w:p w14:paraId="660AAB58" w14:textId="77777777" w:rsidR="00A91A4A" w:rsidRDefault="00C52AC9">
      <w:pPr>
        <w:pStyle w:val="2"/>
        <w:framePr w:w="0" w:hRule="auto" w:hSpace="0" w:wrap="auto" w:vAnchor="margin" w:hAnchor="text" w:xAlign="left" w:yAlign="inline"/>
        <w:widowControl w:val="0"/>
        <w:kinsoku w:val="0"/>
        <w:overflowPunct w:val="0"/>
        <w:autoSpaceDE w:val="0"/>
        <w:autoSpaceDN w:val="0"/>
        <w:adjustRightInd w:val="0"/>
        <w:ind w:right="554"/>
        <w:textAlignment w:val="center"/>
        <w:rPr>
          <w:rFonts w:ascii="Times New Roman"/>
          <w:szCs w:val="20"/>
        </w:rPr>
      </w:pPr>
      <w:r>
        <w:rPr>
          <w:rFonts w:hAnsi="黑体" w:cs="黑体" w:hint="eastAsia"/>
          <w:szCs w:val="20"/>
        </w:rPr>
        <w:t>T</w:t>
      </w:r>
      <w:r w:rsidR="00421585">
        <w:rPr>
          <w:rFonts w:hAnsi="黑体" w:cs="黑体" w:hint="eastAsia"/>
          <w:szCs w:val="20"/>
        </w:rPr>
        <w:t>/</w:t>
      </w:r>
      <w:r>
        <w:rPr>
          <w:rFonts w:hAnsi="黑体" w:cs="黑体" w:hint="eastAsia"/>
          <w:szCs w:val="20"/>
        </w:rPr>
        <w:t>JSBFA</w:t>
      </w:r>
      <w:r w:rsidR="00670D99">
        <w:rPr>
          <w:rFonts w:hAnsi="黑体" w:cs="黑体" w:hint="eastAsia"/>
          <w:szCs w:val="20"/>
        </w:rPr>
        <w:t xml:space="preserve">  XXXX-202</w:t>
      </w:r>
      <w:r>
        <w:rPr>
          <w:rFonts w:hAnsi="黑体" w:cs="黑体" w:hint="eastAsia"/>
          <w:szCs w:val="20"/>
        </w:rPr>
        <w:t>4</w:t>
      </w:r>
    </w:p>
    <w:p w14:paraId="425C41D6" w14:textId="77777777" w:rsidR="00A91A4A" w:rsidRDefault="00670D99">
      <w:pPr>
        <w:spacing w:line="380" w:lineRule="exact"/>
        <w:rPr>
          <w:b/>
          <w:sz w:val="32"/>
          <w:szCs w:val="32"/>
        </w:rPr>
      </w:pPr>
      <w:r>
        <w:rPr>
          <w:b/>
          <w:noProof/>
          <w:sz w:val="32"/>
          <w:szCs w:val="32"/>
        </w:rPr>
        <mc:AlternateContent>
          <mc:Choice Requires="wps">
            <w:drawing>
              <wp:anchor distT="0" distB="0" distL="114300" distR="114300" simplePos="0" relativeHeight="251660288" behindDoc="0" locked="0" layoutInCell="1" allowOverlap="1" wp14:anchorId="477FB4F1" wp14:editId="094D60A3">
                <wp:simplePos x="0" y="0"/>
                <wp:positionH relativeFrom="column">
                  <wp:posOffset>0</wp:posOffset>
                </wp:positionH>
                <wp:positionV relativeFrom="paragraph">
                  <wp:posOffset>80010</wp:posOffset>
                </wp:positionV>
                <wp:extent cx="6012180" cy="19050"/>
                <wp:effectExtent l="0" t="4445" r="7620" b="5080"/>
                <wp:wrapNone/>
                <wp:docPr id="3" name="直接连接符 3"/>
                <wp:cNvGraphicFramePr/>
                <a:graphic xmlns:a="http://schemas.openxmlformats.org/drawingml/2006/main">
                  <a:graphicData uri="http://schemas.microsoft.com/office/word/2010/wordprocessingShape">
                    <wps:wsp>
                      <wps:cNvCnPr/>
                      <wps:spPr>
                        <a:xfrm flipV="1">
                          <a:off x="0" y="0"/>
                          <a:ext cx="6012180" cy="1905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236DB1B4" id="直接连接符 3"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0,6.3pt" to="473.4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"/>
            </w:pict>
          </mc:Fallback>
        </mc:AlternateContent>
      </w:r>
    </w:p>
    <w:p w14:paraId="685673AD" w14:textId="77777777" w:rsidR="00A91A4A" w:rsidRDefault="00A91A4A">
      <w:pPr>
        <w:spacing w:line="380" w:lineRule="exact"/>
        <w:rPr>
          <w:b/>
          <w:sz w:val="44"/>
          <w:szCs w:val="44"/>
        </w:rPr>
      </w:pPr>
    </w:p>
    <w:p w14:paraId="57A091E2" w14:textId="77777777" w:rsidR="00A91A4A" w:rsidRDefault="00A91A4A">
      <w:pPr>
        <w:spacing w:line="360" w:lineRule="auto"/>
        <w:rPr>
          <w:sz w:val="44"/>
          <w:szCs w:val="44"/>
        </w:rPr>
      </w:pPr>
    </w:p>
    <w:p w14:paraId="4609635E" w14:textId="7759B197" w:rsidR="00A91A4A" w:rsidRDefault="00C21D13">
      <w:pPr>
        <w:spacing w:line="360" w:lineRule="auto"/>
        <w:jc w:val="center"/>
        <w:rPr>
          <w:rFonts w:eastAsia="黑体" w:hAnsi="黑体" w:hint="eastAsia"/>
          <w:sz w:val="52"/>
          <w:szCs w:val="52"/>
        </w:rPr>
      </w:pPr>
      <w:r w:rsidRPr="00C21D13">
        <w:rPr>
          <w:rFonts w:eastAsia="黑体" w:hAnsi="黑体"/>
          <w:sz w:val="52"/>
          <w:szCs w:val="52"/>
        </w:rPr>
        <w:t>小麦</w:t>
      </w:r>
      <w:r w:rsidR="00C6071E">
        <w:rPr>
          <w:rFonts w:eastAsia="黑体" w:hAnsi="黑体" w:hint="eastAsia"/>
          <w:sz w:val="52"/>
          <w:szCs w:val="52"/>
        </w:rPr>
        <w:t>高产高效</w:t>
      </w:r>
      <w:r w:rsidRPr="00C21D13">
        <w:rPr>
          <w:rFonts w:eastAsia="黑体" w:hAnsi="黑体"/>
          <w:sz w:val="52"/>
          <w:szCs w:val="52"/>
        </w:rPr>
        <w:t>与土壤培肥改良技术规程</w:t>
      </w:r>
    </w:p>
    <w:p w14:paraId="7135E5F0" w14:textId="77777777" w:rsidR="00A91A4A" w:rsidRDefault="00A91A4A">
      <w:pPr>
        <w:spacing w:line="380" w:lineRule="exact"/>
        <w:jc w:val="center"/>
        <w:outlineLvl w:val="0"/>
        <w:rPr>
          <w:sz w:val="24"/>
        </w:rPr>
      </w:pPr>
    </w:p>
    <w:p w14:paraId="3BC30B65" w14:textId="6520BD5B" w:rsidR="00A91A4A" w:rsidRDefault="00701566" w:rsidP="00DF3B4D">
      <w:pPr>
        <w:spacing w:line="380" w:lineRule="exact"/>
        <w:ind w:left="560" w:hangingChars="200" w:hanging="560"/>
        <w:jc w:val="center"/>
        <w:outlineLvl w:val="0"/>
        <w:rPr>
          <w:rFonts w:eastAsia="黑体"/>
          <w:sz w:val="28"/>
          <w:szCs w:val="28"/>
        </w:rPr>
      </w:pPr>
      <w:r w:rsidRPr="00701566">
        <w:rPr>
          <w:rFonts w:eastAsia="黑体"/>
          <w:sz w:val="28"/>
          <w:szCs w:val="28"/>
        </w:rPr>
        <w:t>Technical specification for</w:t>
      </w:r>
      <w:r w:rsidRPr="00701566">
        <w:t xml:space="preserve"> </w:t>
      </w:r>
      <w:r>
        <w:rPr>
          <w:rFonts w:eastAsia="黑体" w:hint="eastAsia"/>
          <w:sz w:val="28"/>
          <w:szCs w:val="28"/>
        </w:rPr>
        <w:t>h</w:t>
      </w:r>
      <w:r w:rsidRPr="00701566">
        <w:rPr>
          <w:rFonts w:eastAsia="黑体"/>
          <w:sz w:val="28"/>
          <w:szCs w:val="28"/>
        </w:rPr>
        <w:t>igh</w:t>
      </w:r>
      <w:r w:rsidRPr="00701566">
        <w:rPr>
          <w:rFonts w:ascii="Cambria Math" w:eastAsia="黑体" w:hAnsi="Cambria Math" w:cs="Cambria Math"/>
          <w:sz w:val="28"/>
          <w:szCs w:val="28"/>
        </w:rPr>
        <w:t>‑</w:t>
      </w:r>
      <w:r w:rsidRPr="00701566">
        <w:rPr>
          <w:rFonts w:eastAsia="黑体"/>
          <w:sz w:val="28"/>
          <w:szCs w:val="28"/>
        </w:rPr>
        <w:t xml:space="preserve">yield and </w:t>
      </w:r>
      <w:r>
        <w:rPr>
          <w:rFonts w:eastAsia="黑体" w:hint="eastAsia"/>
          <w:sz w:val="28"/>
          <w:szCs w:val="28"/>
        </w:rPr>
        <w:t>h</w:t>
      </w:r>
      <w:r w:rsidRPr="00701566">
        <w:rPr>
          <w:rFonts w:eastAsia="黑体"/>
          <w:sz w:val="28"/>
          <w:szCs w:val="28"/>
        </w:rPr>
        <w:t>igh</w:t>
      </w:r>
      <w:r w:rsidRPr="00701566">
        <w:rPr>
          <w:rFonts w:ascii="Cambria Math" w:eastAsia="黑体" w:hAnsi="Cambria Math" w:cs="Cambria Math"/>
          <w:sz w:val="28"/>
          <w:szCs w:val="28"/>
        </w:rPr>
        <w:t>‑</w:t>
      </w:r>
      <w:r w:rsidRPr="00701566">
        <w:rPr>
          <w:rFonts w:eastAsia="黑体"/>
          <w:sz w:val="28"/>
          <w:szCs w:val="28"/>
        </w:rPr>
        <w:t xml:space="preserve">efficiency </w:t>
      </w:r>
      <w:r>
        <w:rPr>
          <w:rFonts w:eastAsia="黑体" w:hint="eastAsia"/>
          <w:sz w:val="28"/>
          <w:szCs w:val="28"/>
        </w:rPr>
        <w:t>w</w:t>
      </w:r>
      <w:r w:rsidRPr="00701566">
        <w:rPr>
          <w:rFonts w:eastAsia="黑体"/>
          <w:sz w:val="28"/>
          <w:szCs w:val="28"/>
        </w:rPr>
        <w:t xml:space="preserve">heat </w:t>
      </w:r>
      <w:r>
        <w:rPr>
          <w:rFonts w:eastAsia="黑体" w:hint="eastAsia"/>
          <w:sz w:val="28"/>
          <w:szCs w:val="28"/>
        </w:rPr>
        <w:t>p</w:t>
      </w:r>
      <w:r w:rsidRPr="00701566">
        <w:rPr>
          <w:rFonts w:eastAsia="黑体"/>
          <w:sz w:val="28"/>
          <w:szCs w:val="28"/>
        </w:rPr>
        <w:t xml:space="preserve">roduction and </w:t>
      </w:r>
      <w:r>
        <w:rPr>
          <w:rFonts w:eastAsia="黑体" w:hint="eastAsia"/>
          <w:sz w:val="28"/>
          <w:szCs w:val="28"/>
        </w:rPr>
        <w:t>s</w:t>
      </w:r>
      <w:r w:rsidRPr="00701566">
        <w:rPr>
          <w:rFonts w:eastAsia="黑体"/>
          <w:sz w:val="28"/>
          <w:szCs w:val="28"/>
        </w:rPr>
        <w:t xml:space="preserve">oil </w:t>
      </w:r>
      <w:r>
        <w:rPr>
          <w:rFonts w:eastAsia="黑体" w:hint="eastAsia"/>
          <w:sz w:val="28"/>
          <w:szCs w:val="28"/>
        </w:rPr>
        <w:t>f</w:t>
      </w:r>
      <w:r w:rsidRPr="00701566">
        <w:rPr>
          <w:rFonts w:eastAsia="黑体"/>
          <w:sz w:val="28"/>
          <w:szCs w:val="28"/>
        </w:rPr>
        <w:t xml:space="preserve">ertility </w:t>
      </w:r>
      <w:r>
        <w:rPr>
          <w:rFonts w:eastAsia="黑体" w:hint="eastAsia"/>
          <w:sz w:val="28"/>
          <w:szCs w:val="28"/>
        </w:rPr>
        <w:t>i</w:t>
      </w:r>
      <w:r w:rsidRPr="00701566">
        <w:rPr>
          <w:rFonts w:eastAsia="黑体"/>
          <w:sz w:val="28"/>
          <w:szCs w:val="28"/>
        </w:rPr>
        <w:t>mprovement</w:t>
      </w:r>
    </w:p>
    <w:p w14:paraId="4498E80D" w14:textId="77777777" w:rsidR="00A91A4A" w:rsidRPr="00701566" w:rsidRDefault="00A91A4A">
      <w:pPr>
        <w:spacing w:line="380" w:lineRule="exact"/>
        <w:outlineLvl w:val="0"/>
        <w:rPr>
          <w:sz w:val="24"/>
        </w:rPr>
      </w:pPr>
    </w:p>
    <w:p w14:paraId="390B03B4" w14:textId="77777777" w:rsidR="00A91A4A" w:rsidRDefault="00A91A4A">
      <w:pPr>
        <w:spacing w:line="380" w:lineRule="exact"/>
        <w:outlineLvl w:val="0"/>
        <w:rPr>
          <w:sz w:val="24"/>
        </w:rPr>
      </w:pPr>
    </w:p>
    <w:p w14:paraId="7699E714" w14:textId="77777777" w:rsidR="00A91A4A" w:rsidRDefault="00670D99">
      <w:pPr>
        <w:spacing w:line="380" w:lineRule="exact"/>
        <w:jc w:val="center"/>
        <w:outlineLvl w:val="0"/>
        <w:rPr>
          <w:rFonts w:eastAsia="黑体"/>
          <w:b/>
          <w:bCs/>
          <w:sz w:val="32"/>
          <w:szCs w:val="32"/>
        </w:rPr>
      </w:pPr>
      <w:bookmarkStart w:id="0" w:name="_Toc20663828"/>
      <w:r>
        <w:rPr>
          <w:rFonts w:eastAsia="黑体"/>
          <w:sz w:val="32"/>
          <w:szCs w:val="32"/>
        </w:rPr>
        <w:t>（</w:t>
      </w:r>
      <w:r w:rsidR="00C52AC9">
        <w:rPr>
          <w:rFonts w:eastAsia="黑体" w:hint="eastAsia"/>
          <w:sz w:val="32"/>
          <w:szCs w:val="32"/>
        </w:rPr>
        <w:t>征求意见稿</w:t>
      </w:r>
      <w:r>
        <w:rPr>
          <w:rFonts w:eastAsia="黑体"/>
          <w:sz w:val="32"/>
          <w:szCs w:val="32"/>
        </w:rPr>
        <w:t>）</w:t>
      </w:r>
      <w:bookmarkEnd w:id="0"/>
    </w:p>
    <w:p w14:paraId="0942F08A" w14:textId="77777777" w:rsidR="00A91A4A" w:rsidRDefault="00A91A4A">
      <w:pPr>
        <w:spacing w:line="380" w:lineRule="exact"/>
        <w:outlineLvl w:val="0"/>
        <w:rPr>
          <w:b/>
          <w:sz w:val="24"/>
        </w:rPr>
      </w:pPr>
    </w:p>
    <w:p w14:paraId="6812A4CA" w14:textId="77777777" w:rsidR="00A91A4A" w:rsidRDefault="00A91A4A">
      <w:pPr>
        <w:spacing w:line="380" w:lineRule="exact"/>
        <w:outlineLvl w:val="0"/>
        <w:rPr>
          <w:b/>
          <w:sz w:val="24"/>
        </w:rPr>
      </w:pPr>
    </w:p>
    <w:p w14:paraId="2E48BE3D" w14:textId="77777777" w:rsidR="00421585" w:rsidRDefault="00421585">
      <w:pPr>
        <w:spacing w:line="380" w:lineRule="exact"/>
        <w:outlineLvl w:val="0"/>
        <w:rPr>
          <w:b/>
          <w:sz w:val="24"/>
        </w:rPr>
      </w:pPr>
    </w:p>
    <w:p w14:paraId="37B6F05E" w14:textId="77777777" w:rsidR="00A91A4A" w:rsidRDefault="00A91A4A">
      <w:pPr>
        <w:spacing w:line="380" w:lineRule="exact"/>
        <w:outlineLvl w:val="0"/>
        <w:rPr>
          <w:b/>
          <w:sz w:val="24"/>
        </w:rPr>
      </w:pPr>
    </w:p>
    <w:p w14:paraId="0030278F" w14:textId="77777777" w:rsidR="00A91A4A" w:rsidRDefault="00A91A4A">
      <w:pPr>
        <w:spacing w:line="380" w:lineRule="exact"/>
        <w:outlineLvl w:val="0"/>
        <w:rPr>
          <w:b/>
          <w:sz w:val="24"/>
        </w:rPr>
      </w:pPr>
    </w:p>
    <w:p w14:paraId="526A5185" w14:textId="77777777" w:rsidR="00A91A4A" w:rsidRDefault="00A91A4A">
      <w:pPr>
        <w:spacing w:line="380" w:lineRule="exact"/>
        <w:outlineLvl w:val="0"/>
        <w:rPr>
          <w:b/>
          <w:sz w:val="24"/>
        </w:rPr>
      </w:pPr>
    </w:p>
    <w:p w14:paraId="53C63A7A" w14:textId="77777777" w:rsidR="00A91A4A" w:rsidRDefault="00A91A4A">
      <w:pPr>
        <w:spacing w:line="380" w:lineRule="exact"/>
        <w:outlineLvl w:val="0"/>
        <w:rPr>
          <w:b/>
          <w:sz w:val="24"/>
        </w:rPr>
      </w:pPr>
    </w:p>
    <w:p w14:paraId="76BE3667" w14:textId="77777777" w:rsidR="00A91A4A" w:rsidRDefault="00670D99">
      <w:pPr>
        <w:spacing w:line="380" w:lineRule="exact"/>
        <w:jc w:val="center"/>
        <w:outlineLvl w:val="0"/>
        <w:rPr>
          <w:rFonts w:ascii="黑体" w:eastAsia="黑体" w:hAnsi="黑体" w:cs="黑体" w:hint="eastAsia"/>
          <w:b/>
          <w:sz w:val="28"/>
          <w:szCs w:val="28"/>
        </w:rPr>
      </w:pPr>
      <w:bookmarkStart w:id="1" w:name="_Toc20663829"/>
      <w:r>
        <w:rPr>
          <w:rFonts w:ascii="黑体" w:eastAsia="黑体" w:hAnsi="黑体" w:cs="黑体" w:hint="eastAsia"/>
          <w:kern w:val="0"/>
          <w:sz w:val="28"/>
          <w:szCs w:val="28"/>
        </w:rPr>
        <w:t>XXXX -XX-XX 发布                              XXXX -XX-XX 实施</w:t>
      </w:r>
      <w:bookmarkEnd w:id="1"/>
    </w:p>
    <w:p w14:paraId="7A3A16AF" w14:textId="77777777" w:rsidR="00A91A4A" w:rsidRDefault="00670D99">
      <w:pPr>
        <w:spacing w:line="380" w:lineRule="exact"/>
        <w:outlineLvl w:val="0"/>
        <w:rPr>
          <w:b/>
          <w:sz w:val="24"/>
        </w:rPr>
      </w:pPr>
      <w:r>
        <w:rPr>
          <w:b/>
          <w:noProof/>
          <w:sz w:val="32"/>
          <w:szCs w:val="32"/>
        </w:rPr>
        <mc:AlternateContent>
          <mc:Choice Requires="wps">
            <w:drawing>
              <wp:anchor distT="0" distB="0" distL="114300" distR="114300" simplePos="0" relativeHeight="251661312" behindDoc="0" locked="0" layoutInCell="1" allowOverlap="1" wp14:anchorId="788113F2" wp14:editId="0AE716BD">
                <wp:simplePos x="0" y="0"/>
                <wp:positionH relativeFrom="margin">
                  <wp:posOffset>302496</wp:posOffset>
                </wp:positionH>
                <wp:positionV relativeFrom="paragraph">
                  <wp:posOffset>212046</wp:posOffset>
                </wp:positionV>
                <wp:extent cx="5714335" cy="0"/>
                <wp:effectExtent l="0" t="0" r="20320" b="19050"/>
                <wp:wrapNone/>
                <wp:docPr id="6" name="直接连接符 6"/>
                <wp:cNvGraphicFramePr/>
                <a:graphic xmlns:a="http://schemas.openxmlformats.org/drawingml/2006/main">
                  <a:graphicData uri="http://schemas.microsoft.com/office/word/2010/wordprocessingShape">
                    <wps:wsp>
                      <wps:cNvCnPr/>
                      <wps:spPr>
                        <a:xfrm>
                          <a:off x="0" y="0"/>
                          <a:ext cx="5714335" cy="0"/>
                        </a:xfrm>
                        <a:prstGeom prst="line">
                          <a:avLst/>
                        </a:prstGeom>
                        <a:ln w="9525" cap="flat" cmpd="sng">
                          <a:solidFill>
                            <a:srgbClr val="000000"/>
                          </a:solidFill>
                          <a:prstDash val="solid"/>
                          <a:headEnd type="none" w="med" len="med"/>
                          <a:tailEnd type="none" w="med" len="med"/>
                        </a:ln>
                      </wps:spPr>
                      <wps:bodyPr/>
                    </wps:wsp>
                  </a:graphicData>
                </a:graphic>
                <wp14:sizeRelH relativeFrom="margin">
                  <wp14:pctWidth>0</wp14:pctWidth>
                </wp14:sizeRelH>
              </wp:anchor>
            </w:drawing>
          </mc:Choice>
          <mc:Fallback>
            <w:pict>
              <v:line w14:anchorId="0842F93D" id="直接连接符 6" o:spid="_x0000_s1026" style="position:absolute;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3.8pt,16.7pt" to="473.7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">
                <w10:wrap anchorx="margin"/>
              </v:line>
            </w:pict>
          </mc:Fallback>
        </mc:AlternateContent>
      </w:r>
    </w:p>
    <w:p w14:paraId="21852ECA" w14:textId="77777777" w:rsidR="00A91A4A" w:rsidRDefault="00DF3B4D" w:rsidP="00C52AC9">
      <w:pPr>
        <w:widowControl/>
        <w:spacing w:beforeLines="50" w:before="156"/>
        <w:jc w:val="center"/>
        <w:rPr>
          <w:rFonts w:eastAsia="黑体"/>
          <w:spacing w:val="20"/>
          <w:w w:val="135"/>
          <w:kern w:val="0"/>
          <w:sz w:val="28"/>
          <w:szCs w:val="20"/>
        </w:rPr>
        <w:sectPr w:rsidR="00A91A4A">
          <w:footerReference w:type="default" r:id="rId8"/>
          <w:footerReference w:type="first" r:id="rId9"/>
          <w:pgSz w:w="11906" w:h="16838"/>
          <w:pgMar w:top="1440" w:right="1080" w:bottom="1440" w:left="1080" w:header="1418" w:footer="964" w:gutter="0"/>
          <w:pgNumType w:fmt="numberInDash" w:start="1"/>
          <w:cols w:space="720"/>
          <w:formProt w:val="0"/>
          <w:titlePg/>
          <w:docGrid w:type="lines" w:linePitch="312"/>
        </w:sectPr>
      </w:pPr>
      <w:r>
        <w:rPr>
          <w:rFonts w:eastAsia="黑体" w:hint="eastAsia"/>
          <w:spacing w:val="20"/>
          <w:w w:val="135"/>
          <w:kern w:val="0"/>
          <w:sz w:val="28"/>
          <w:szCs w:val="28"/>
        </w:rPr>
        <w:t>江苏省测土配方施肥协会</w:t>
      </w:r>
      <w:r w:rsidR="00670D99">
        <w:rPr>
          <w:rFonts w:eastAsia="黑体" w:hint="eastAsia"/>
          <w:spacing w:val="20"/>
          <w:w w:val="135"/>
          <w:kern w:val="0"/>
          <w:sz w:val="28"/>
          <w:szCs w:val="28"/>
        </w:rPr>
        <w:t xml:space="preserve"> </w:t>
      </w:r>
      <w:r w:rsidR="00670D99">
        <w:rPr>
          <w:rFonts w:eastAsia="黑体"/>
          <w:spacing w:val="20"/>
          <w:w w:val="135"/>
          <w:kern w:val="0"/>
          <w:sz w:val="28"/>
          <w:szCs w:val="20"/>
        </w:rPr>
        <w:t>发布</w:t>
      </w:r>
    </w:p>
    <w:p w14:paraId="0D60AE90" w14:textId="77777777" w:rsidR="00A91A4A" w:rsidRDefault="00A91A4A">
      <w:pPr>
        <w:rPr>
          <w:rFonts w:eastAsia="黑体"/>
          <w:sz w:val="28"/>
          <w:szCs w:val="20"/>
        </w:rPr>
        <w:sectPr w:rsidR="00A91A4A">
          <w:footerReference w:type="default" r:id="rId10"/>
          <w:type w:val="continuous"/>
          <w:pgSz w:w="11906" w:h="16838"/>
          <w:pgMar w:top="1440" w:right="1080" w:bottom="1440" w:left="1080" w:header="1418" w:footer="964" w:gutter="0"/>
          <w:pgNumType w:fmt="numberInDash"/>
          <w:cols w:space="720"/>
          <w:formProt w:val="0"/>
          <w:docGrid w:type="lines" w:linePitch="312"/>
        </w:sectPr>
      </w:pPr>
    </w:p>
    <w:p w14:paraId="5115801C" w14:textId="77777777" w:rsidR="00A91A4A" w:rsidRDefault="00670D99">
      <w:pPr>
        <w:pStyle w:val="a7"/>
      </w:pPr>
      <w:r>
        <w:rPr>
          <w:rFonts w:hint="eastAsia"/>
        </w:rPr>
        <w:lastRenderedPageBreak/>
        <w:t>前</w:t>
      </w:r>
      <w:bookmarkStart w:id="2" w:name="BKQY"/>
      <w:r>
        <w:t>  </w:t>
      </w:r>
      <w:r>
        <w:rPr>
          <w:rFonts w:hint="eastAsia"/>
        </w:rPr>
        <w:t>言</w:t>
      </w:r>
      <w:bookmarkEnd w:id="2"/>
    </w:p>
    <w:p w14:paraId="40E09C0C" w14:textId="77777777" w:rsidR="00A91A4A" w:rsidRDefault="00670D99">
      <w:pPr>
        <w:pStyle w:val="a8"/>
        <w:rPr>
          <w:color w:val="000000"/>
        </w:rPr>
      </w:pPr>
      <w:r>
        <w:rPr>
          <w:rFonts w:hint="eastAsia"/>
        </w:rPr>
        <w:t>本文件</w:t>
      </w:r>
      <w:r>
        <w:rPr>
          <w:color w:val="000000"/>
        </w:rPr>
        <w:t>按照GB/T 1.1-20</w:t>
      </w:r>
      <w:r>
        <w:rPr>
          <w:rFonts w:hint="eastAsia"/>
          <w:color w:val="000000"/>
        </w:rPr>
        <w:t>20《标准化工作导则  第1部分：标准化文件的结构和起草规则》</w:t>
      </w:r>
      <w:r>
        <w:rPr>
          <w:color w:val="000000"/>
        </w:rPr>
        <w:t>的规</w:t>
      </w:r>
      <w:r>
        <w:rPr>
          <w:rFonts w:hint="eastAsia"/>
          <w:color w:val="000000"/>
        </w:rPr>
        <w:t>定</w:t>
      </w:r>
      <w:r>
        <w:rPr>
          <w:color w:val="000000"/>
        </w:rPr>
        <w:t>起草。</w:t>
      </w:r>
    </w:p>
    <w:p w14:paraId="03CF4517" w14:textId="77777777" w:rsidR="00A91A4A" w:rsidRDefault="00670D99">
      <w:pPr>
        <w:pStyle w:val="a8"/>
        <w:rPr>
          <w:color w:val="000000"/>
        </w:rPr>
      </w:pPr>
      <w:r>
        <w:rPr>
          <w:rFonts w:hint="eastAsia"/>
          <w:color w:val="000000"/>
        </w:rPr>
        <w:t>请注意本文件的某些内容可能涉及专利。本文件的发布机构不承担识别专利的责任。</w:t>
      </w:r>
    </w:p>
    <w:p w14:paraId="419A36D5" w14:textId="77777777" w:rsidR="00A91A4A" w:rsidRDefault="00670D99">
      <w:pPr>
        <w:pStyle w:val="a8"/>
        <w:rPr>
          <w:color w:val="000000"/>
        </w:rPr>
      </w:pPr>
      <w:r>
        <w:rPr>
          <w:rFonts w:hint="eastAsia"/>
          <w:color w:val="000000"/>
        </w:rPr>
        <w:t>本文件</w:t>
      </w:r>
      <w:r>
        <w:rPr>
          <w:color w:val="000000"/>
        </w:rPr>
        <w:t>由</w:t>
      </w:r>
      <w:r w:rsidR="00C52AC9">
        <w:rPr>
          <w:rFonts w:hint="eastAsia"/>
          <w:color w:val="000000"/>
        </w:rPr>
        <w:t>江苏省测土配方施肥协会</w:t>
      </w:r>
      <w:r>
        <w:rPr>
          <w:color w:val="000000"/>
        </w:rPr>
        <w:t>提出</w:t>
      </w:r>
      <w:r>
        <w:rPr>
          <w:rFonts w:hint="eastAsia"/>
          <w:color w:val="000000"/>
        </w:rPr>
        <w:t>并</w:t>
      </w:r>
      <w:r>
        <w:rPr>
          <w:color w:val="000000"/>
        </w:rPr>
        <w:t>归口。</w:t>
      </w:r>
    </w:p>
    <w:p w14:paraId="54365B0D" w14:textId="0AAE46BE" w:rsidR="00A91A4A" w:rsidRDefault="00670D99">
      <w:pPr>
        <w:pStyle w:val="a8"/>
        <w:rPr>
          <w:color w:val="000000"/>
        </w:rPr>
      </w:pPr>
      <w:r>
        <w:rPr>
          <w:rFonts w:hint="eastAsia"/>
          <w:color w:val="000000"/>
        </w:rPr>
        <w:t>本标准起草单位：</w:t>
      </w:r>
      <w:r w:rsidR="00C21D13">
        <w:rPr>
          <w:rFonts w:hint="eastAsia"/>
        </w:rPr>
        <w:t>南京农业大学</w:t>
      </w:r>
      <w:r w:rsidR="00701566">
        <w:rPr>
          <w:rFonts w:hint="eastAsia"/>
        </w:rPr>
        <w:t>、</w:t>
      </w:r>
      <w:r w:rsidR="00701566" w:rsidRPr="00701566">
        <w:t>江苏省耕地质量与农业环境保护站、扬州市耕地质量保护站、如皋市农业技术推广中心、宿迁市宿豫区农业技术综合服务中心</w:t>
      </w:r>
      <w:r w:rsidR="00701566">
        <w:rPr>
          <w:rFonts w:hint="eastAsia"/>
        </w:rPr>
        <w:t>。</w:t>
      </w:r>
    </w:p>
    <w:p w14:paraId="444FDB1D" w14:textId="0D44BBAF" w:rsidR="00A91A4A" w:rsidRDefault="00670D99">
      <w:pPr>
        <w:pStyle w:val="a8"/>
        <w:rPr>
          <w:color w:val="000000"/>
        </w:rPr>
      </w:pPr>
      <w:r>
        <w:rPr>
          <w:rFonts w:hint="eastAsia"/>
          <w:color w:val="000000"/>
        </w:rPr>
        <w:t>本标准主要起草人：</w:t>
      </w:r>
      <w:r w:rsidR="00C21D13">
        <w:rPr>
          <w:rFonts w:hint="eastAsia"/>
          <w:color w:val="000000"/>
        </w:rPr>
        <w:t>郭世伟、王敏</w:t>
      </w:r>
      <w:r w:rsidR="00701566">
        <w:rPr>
          <w:rFonts w:hint="eastAsia"/>
          <w:color w:val="000000"/>
        </w:rPr>
        <w:t>、张莹、毛伟、阚建鸾、靳辉勇、黄建</w:t>
      </w:r>
    </w:p>
    <w:p w14:paraId="4695B5C3" w14:textId="29885772" w:rsidR="00A91A4A" w:rsidRDefault="00C21D13">
      <w:pPr>
        <w:pStyle w:val="a9"/>
      </w:pPr>
      <w:r w:rsidRPr="00C21D13">
        <w:lastRenderedPageBreak/>
        <w:t>小麦</w:t>
      </w:r>
      <w:r w:rsidR="00C6071E">
        <w:rPr>
          <w:rFonts w:hint="eastAsia"/>
        </w:rPr>
        <w:t>高产高效</w:t>
      </w:r>
      <w:r w:rsidRPr="00C21D13">
        <w:t>与土壤培肥改良技术规程</w:t>
      </w:r>
    </w:p>
    <w:p w14:paraId="786AC597" w14:textId="77777777" w:rsidR="00A91A4A" w:rsidRDefault="00670D99">
      <w:pPr>
        <w:pStyle w:val="a"/>
      </w:pPr>
      <w:r>
        <w:rPr>
          <w:rFonts w:hint="eastAsia"/>
        </w:rPr>
        <w:t>范围</w:t>
      </w:r>
    </w:p>
    <w:p w14:paraId="332B2432" w14:textId="2A2C5D27" w:rsidR="00A91A4A" w:rsidRDefault="00670D99">
      <w:pPr>
        <w:pStyle w:val="a8"/>
      </w:pPr>
      <w:r>
        <w:rPr>
          <w:rFonts w:hint="eastAsia"/>
        </w:rPr>
        <w:t>本文件确立了</w:t>
      </w:r>
      <w:r w:rsidR="00C21D13" w:rsidRPr="00C21D13">
        <w:t>小麦高产高效与土壤培肥改良的术语和定义</w:t>
      </w:r>
      <w:r w:rsidR="00C21D13">
        <w:rPr>
          <w:rFonts w:hint="eastAsia"/>
        </w:rPr>
        <w:t>，</w:t>
      </w:r>
      <w:r w:rsidR="00C21D13" w:rsidRPr="00C21D13">
        <w:t>秸秆全量粉碎还田、土壤深翻、有机肥替代化肥、种肥同播、</w:t>
      </w:r>
      <w:r w:rsidR="00C21D13">
        <w:rPr>
          <w:rFonts w:hint="eastAsia"/>
        </w:rPr>
        <w:t>排水降渍和养分管理</w:t>
      </w:r>
      <w:r w:rsidR="00C21D13" w:rsidRPr="00C21D13">
        <w:t>等技术要求</w:t>
      </w:r>
      <w:r>
        <w:rPr>
          <w:rFonts w:hint="eastAsia"/>
        </w:rPr>
        <w:t>。</w:t>
      </w:r>
    </w:p>
    <w:p w14:paraId="19187333" w14:textId="602BAD18" w:rsidR="00A91A4A" w:rsidRDefault="00670D99" w:rsidP="00C21D13">
      <w:pPr>
        <w:pStyle w:val="a8"/>
      </w:pPr>
      <w:r>
        <w:rPr>
          <w:rFonts w:hint="eastAsia"/>
        </w:rPr>
        <w:t>本文件适用于</w:t>
      </w:r>
      <w:r w:rsidR="00C21D13">
        <w:rPr>
          <w:rFonts w:hint="eastAsia"/>
        </w:rPr>
        <w:t>长江中下游稻麦轮作区小麦的种植生产，具有相似气候条件的稻麦轮作区可参照使用。</w:t>
      </w:r>
    </w:p>
    <w:p w14:paraId="5A08279E" w14:textId="77777777" w:rsidR="00A91A4A" w:rsidRDefault="00670D99">
      <w:pPr>
        <w:pStyle w:val="a"/>
      </w:pPr>
      <w:r>
        <w:rPr>
          <w:rFonts w:hint="eastAsia"/>
        </w:rPr>
        <w:t>规范性引用文件</w:t>
      </w:r>
    </w:p>
    <w:p w14:paraId="05E4CC2B" w14:textId="77777777" w:rsidR="00A91A4A" w:rsidRDefault="00670D99">
      <w:pPr>
        <w:pStyle w:val="a8"/>
        <w:adjustRightInd w:val="0"/>
        <w:snapToGrid w:val="0"/>
        <w:rPr>
          <w:rFonts w:ascii="Times New Roman"/>
        </w:rPr>
      </w:pPr>
      <w:r>
        <w:rPr>
          <w:rFonts w:asci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19506077" w14:textId="77777777" w:rsidR="006074F0" w:rsidRDefault="006074F0" w:rsidP="006074F0">
      <w:pPr>
        <w:pStyle w:val="a8"/>
        <w:adjustRightInd w:val="0"/>
        <w:snapToGrid w:val="0"/>
      </w:pPr>
      <w:r>
        <w:rPr>
          <w:rFonts w:hint="eastAsia"/>
        </w:rPr>
        <w:t>GB/T 4404.1  粮食作物种子  第1部分：禾谷类</w:t>
      </w:r>
    </w:p>
    <w:p w14:paraId="3B9168A2" w14:textId="77777777" w:rsidR="006074F0" w:rsidRDefault="006074F0" w:rsidP="006074F0">
      <w:pPr>
        <w:pStyle w:val="a8"/>
        <w:adjustRightInd w:val="0"/>
        <w:snapToGrid w:val="0"/>
      </w:pPr>
      <w:r>
        <w:rPr>
          <w:rFonts w:hint="eastAsia"/>
        </w:rPr>
        <w:t>GB/T 15063  复合肥料</w:t>
      </w:r>
    </w:p>
    <w:p w14:paraId="5467D98E" w14:textId="77777777" w:rsidR="006074F0" w:rsidRDefault="006074F0" w:rsidP="006074F0">
      <w:pPr>
        <w:pStyle w:val="a8"/>
        <w:adjustRightInd w:val="0"/>
        <w:snapToGrid w:val="0"/>
      </w:pPr>
      <w:r>
        <w:rPr>
          <w:rFonts w:hint="eastAsia"/>
        </w:rPr>
        <w:t>GB 38400  肥料中有毒有害物质的限量要求</w:t>
      </w:r>
    </w:p>
    <w:p w14:paraId="2F11FA19" w14:textId="77777777" w:rsidR="006074F0" w:rsidRDefault="006074F0" w:rsidP="006074F0">
      <w:pPr>
        <w:pStyle w:val="a8"/>
        <w:adjustRightInd w:val="0"/>
        <w:snapToGrid w:val="0"/>
      </w:pPr>
      <w:r>
        <w:rPr>
          <w:rFonts w:hint="eastAsia"/>
        </w:rPr>
        <w:t>NY/T 496  肥料合理使用准则  通则</w:t>
      </w:r>
    </w:p>
    <w:p w14:paraId="5FB45EEE" w14:textId="77777777" w:rsidR="006074F0" w:rsidRDefault="006074F0" w:rsidP="006074F0">
      <w:pPr>
        <w:pStyle w:val="a8"/>
        <w:adjustRightInd w:val="0"/>
        <w:snapToGrid w:val="0"/>
      </w:pPr>
      <w:r>
        <w:rPr>
          <w:rFonts w:hint="eastAsia"/>
        </w:rPr>
        <w:t>NY/T 500  秸秆粉碎还田机  作业质量</w:t>
      </w:r>
    </w:p>
    <w:p w14:paraId="25AAC61A" w14:textId="77777777" w:rsidR="006074F0" w:rsidRDefault="006074F0" w:rsidP="006074F0">
      <w:pPr>
        <w:pStyle w:val="a8"/>
        <w:adjustRightInd w:val="0"/>
        <w:snapToGrid w:val="0"/>
      </w:pPr>
      <w:r>
        <w:rPr>
          <w:rFonts w:hint="eastAsia"/>
        </w:rPr>
        <w:t>NY/T 525  有机肥料</w:t>
      </w:r>
    </w:p>
    <w:p w14:paraId="237E8DAB" w14:textId="77777777" w:rsidR="006074F0" w:rsidRDefault="006074F0" w:rsidP="006074F0">
      <w:pPr>
        <w:pStyle w:val="a8"/>
        <w:adjustRightInd w:val="0"/>
        <w:snapToGrid w:val="0"/>
      </w:pPr>
      <w:r>
        <w:rPr>
          <w:rFonts w:hint="eastAsia"/>
        </w:rPr>
        <w:t>NY/T 739  谷物播种机械  作业质量</w:t>
      </w:r>
    </w:p>
    <w:p w14:paraId="490D91C4" w14:textId="77777777" w:rsidR="006074F0" w:rsidRDefault="006074F0" w:rsidP="006074F0">
      <w:pPr>
        <w:pStyle w:val="a8"/>
        <w:adjustRightInd w:val="0"/>
        <w:snapToGrid w:val="0"/>
      </w:pPr>
      <w:r>
        <w:rPr>
          <w:rFonts w:hint="eastAsia"/>
        </w:rPr>
        <w:t>NY/T 740  田间开沟机械作业质量</w:t>
      </w:r>
    </w:p>
    <w:p w14:paraId="289DF255" w14:textId="77777777" w:rsidR="006074F0" w:rsidRDefault="006074F0" w:rsidP="006074F0">
      <w:pPr>
        <w:pStyle w:val="a8"/>
        <w:adjustRightInd w:val="0"/>
        <w:snapToGrid w:val="0"/>
      </w:pPr>
      <w:r>
        <w:rPr>
          <w:rFonts w:hint="eastAsia"/>
        </w:rPr>
        <w:t>NY 884  生物有机肥</w:t>
      </w:r>
    </w:p>
    <w:p w14:paraId="4E667075" w14:textId="77777777" w:rsidR="006074F0" w:rsidRDefault="006074F0" w:rsidP="006074F0">
      <w:pPr>
        <w:pStyle w:val="a8"/>
        <w:adjustRightInd w:val="0"/>
        <w:snapToGrid w:val="0"/>
      </w:pPr>
      <w:r>
        <w:rPr>
          <w:rFonts w:hint="eastAsia"/>
        </w:rPr>
        <w:t>NY/T 1112  配方肥料</w:t>
      </w:r>
    </w:p>
    <w:p w14:paraId="4AF52094" w14:textId="77777777" w:rsidR="006074F0" w:rsidRDefault="006074F0" w:rsidP="006074F0">
      <w:pPr>
        <w:pStyle w:val="a8"/>
        <w:adjustRightInd w:val="0"/>
        <w:snapToGrid w:val="0"/>
      </w:pPr>
      <w:r>
        <w:rPr>
          <w:rFonts w:hint="eastAsia"/>
        </w:rPr>
        <w:t>NY/T 1276  农药安全使用规范  总则</w:t>
      </w:r>
    </w:p>
    <w:p w14:paraId="38EFB312" w14:textId="77777777" w:rsidR="006074F0" w:rsidRDefault="006074F0" w:rsidP="006074F0">
      <w:pPr>
        <w:pStyle w:val="a8"/>
        <w:adjustRightInd w:val="0"/>
        <w:snapToGrid w:val="0"/>
      </w:pPr>
      <w:r>
        <w:rPr>
          <w:rFonts w:hint="eastAsia"/>
        </w:rPr>
        <w:t>NY/T 3247  长江中下游冬麦区小麦栽培技术规程</w:t>
      </w:r>
    </w:p>
    <w:p w14:paraId="35793316" w14:textId="7476DDD7" w:rsidR="00A91A4A" w:rsidRDefault="006074F0" w:rsidP="006074F0">
      <w:pPr>
        <w:pStyle w:val="a8"/>
        <w:adjustRightInd w:val="0"/>
        <w:snapToGrid w:val="0"/>
      </w:pPr>
      <w:r>
        <w:rPr>
          <w:rFonts w:hint="eastAsia"/>
        </w:rPr>
        <w:t>NY/T 4260  植保无人飞机防治小麦病虫害作业规程</w:t>
      </w:r>
    </w:p>
    <w:p w14:paraId="05A9A5F1" w14:textId="77777777" w:rsidR="00A91A4A" w:rsidRDefault="00670D99">
      <w:pPr>
        <w:pStyle w:val="a"/>
        <w:numPr>
          <w:ilvl w:val="0"/>
          <w:numId w:val="0"/>
        </w:numPr>
      </w:pPr>
      <w:r>
        <w:rPr>
          <w:rFonts w:hint="eastAsia"/>
        </w:rPr>
        <w:t>3  术语和定义</w:t>
      </w:r>
    </w:p>
    <w:p w14:paraId="584FC4F3" w14:textId="77777777" w:rsidR="00A91A4A" w:rsidRDefault="00670D99">
      <w:pPr>
        <w:pStyle w:val="a8"/>
        <w:spacing w:line="600" w:lineRule="exact"/>
        <w:rPr>
          <w:rFonts w:hAnsi="宋体" w:cs="宋体" w:hint="eastAsia"/>
          <w:szCs w:val="21"/>
        </w:rPr>
      </w:pPr>
      <w:r>
        <w:rPr>
          <w:rFonts w:hAnsi="宋体" w:cs="宋体" w:hint="eastAsia"/>
          <w:szCs w:val="21"/>
        </w:rPr>
        <w:t>下列术语和定义适用于本文件。</w:t>
      </w:r>
    </w:p>
    <w:p w14:paraId="0743732D" w14:textId="77777777" w:rsidR="00A91A4A" w:rsidRDefault="00670D99">
      <w:pPr>
        <w:pStyle w:val="a8"/>
        <w:ind w:firstLineChars="0" w:firstLine="0"/>
        <w:rPr>
          <w:rFonts w:ascii="黑体" w:eastAsia="黑体" w:hAnsi="黑体" w:cs="黑体" w:hint="eastAsia"/>
          <w:szCs w:val="21"/>
        </w:rPr>
      </w:pPr>
      <w:r>
        <w:rPr>
          <w:rFonts w:ascii="黑体" w:eastAsia="黑体" w:hAnsi="黑体" w:cs="黑体" w:hint="eastAsia"/>
          <w:szCs w:val="21"/>
        </w:rPr>
        <w:t xml:space="preserve">3.1 </w:t>
      </w:r>
    </w:p>
    <w:p w14:paraId="41A6311B" w14:textId="56D98B51" w:rsidR="00A91A4A" w:rsidRDefault="00670D99">
      <w:pPr>
        <w:pStyle w:val="a8"/>
        <w:ind w:firstLineChars="0" w:firstLine="0"/>
        <w:rPr>
          <w:rFonts w:ascii="黑体" w:eastAsia="黑体" w:hAnsi="黑体" w:cs="黑体" w:hint="eastAsia"/>
          <w:szCs w:val="21"/>
        </w:rPr>
      </w:pPr>
      <w:r>
        <w:rPr>
          <w:rFonts w:ascii="黑体" w:eastAsia="黑体" w:hAnsi="黑体" w:cs="黑体" w:hint="eastAsia"/>
          <w:szCs w:val="21"/>
        </w:rPr>
        <w:t xml:space="preserve">    </w:t>
      </w:r>
      <w:r w:rsidR="006074F0" w:rsidRPr="006074F0">
        <w:rPr>
          <w:rFonts w:ascii="黑体" w:eastAsia="黑体" w:hAnsi="黑体" w:cs="黑体"/>
          <w:szCs w:val="21"/>
        </w:rPr>
        <w:t>雨养</w:t>
      </w:r>
      <w:r w:rsidR="00FE4538">
        <w:rPr>
          <w:rFonts w:ascii="黑体" w:eastAsia="黑体" w:hAnsi="黑体" w:cs="黑体" w:hint="eastAsia"/>
          <w:szCs w:val="21"/>
        </w:rPr>
        <w:t>冬</w:t>
      </w:r>
      <w:r w:rsidR="006074F0" w:rsidRPr="006074F0">
        <w:rPr>
          <w:rFonts w:ascii="黑体" w:eastAsia="黑体" w:hAnsi="黑体" w:cs="黑体"/>
          <w:szCs w:val="21"/>
        </w:rPr>
        <w:t>小麦</w:t>
      </w:r>
      <w:r w:rsidR="00FE4538">
        <w:rPr>
          <w:rFonts w:ascii="黑体" w:eastAsia="黑体" w:hAnsi="黑体" w:cs="黑体" w:hint="eastAsia"/>
          <w:szCs w:val="21"/>
        </w:rPr>
        <w:t xml:space="preserve">  </w:t>
      </w:r>
      <w:r w:rsidR="00FE4538" w:rsidRPr="00FE4538">
        <w:rPr>
          <w:rFonts w:ascii="黑体" w:eastAsia="黑体" w:hAnsi="黑体" w:cs="黑体"/>
          <w:szCs w:val="21"/>
        </w:rPr>
        <w:t>rainfed winter wheat</w:t>
      </w:r>
    </w:p>
    <w:p w14:paraId="1FB6B5A6" w14:textId="2D7E5742" w:rsidR="00A91A4A" w:rsidRDefault="006074F0">
      <w:pPr>
        <w:pStyle w:val="a8"/>
        <w:rPr>
          <w:rFonts w:hAnsi="宋体" w:cs="宋体" w:hint="eastAsia"/>
          <w:szCs w:val="21"/>
        </w:rPr>
      </w:pPr>
      <w:r w:rsidRPr="006074F0">
        <w:rPr>
          <w:rFonts w:hAnsi="宋体" w:cs="宋体"/>
          <w:szCs w:val="21"/>
        </w:rPr>
        <w:t>生育期主要依靠自然降水满足水分需求的长江中下游稻麦轮作区</w:t>
      </w:r>
      <w:r>
        <w:rPr>
          <w:rFonts w:hAnsi="宋体" w:cs="宋体" w:hint="eastAsia"/>
          <w:szCs w:val="21"/>
        </w:rPr>
        <w:t>小麦</w:t>
      </w:r>
      <w:r w:rsidRPr="006074F0">
        <w:rPr>
          <w:rFonts w:hAnsi="宋体" w:cs="宋体"/>
          <w:szCs w:val="21"/>
        </w:rPr>
        <w:t>。</w:t>
      </w:r>
    </w:p>
    <w:p w14:paraId="70E66F6B" w14:textId="0AD31F97" w:rsidR="006074F0" w:rsidRDefault="006074F0" w:rsidP="006074F0">
      <w:pPr>
        <w:pStyle w:val="a8"/>
        <w:ind w:firstLineChars="0" w:firstLine="0"/>
        <w:rPr>
          <w:rFonts w:ascii="黑体" w:eastAsia="黑体" w:hAnsi="黑体" w:cs="黑体" w:hint="eastAsia"/>
          <w:szCs w:val="21"/>
        </w:rPr>
      </w:pPr>
      <w:r>
        <w:rPr>
          <w:rFonts w:ascii="黑体" w:eastAsia="黑体" w:hAnsi="黑体" w:cs="黑体" w:hint="eastAsia"/>
          <w:szCs w:val="21"/>
        </w:rPr>
        <w:t>3.</w:t>
      </w:r>
      <w:r w:rsidR="0023285B">
        <w:rPr>
          <w:rFonts w:ascii="黑体" w:eastAsia="黑体" w:hAnsi="黑体" w:cs="黑体" w:hint="eastAsia"/>
          <w:szCs w:val="21"/>
        </w:rPr>
        <w:t>2</w:t>
      </w:r>
      <w:r>
        <w:rPr>
          <w:rFonts w:ascii="黑体" w:eastAsia="黑体" w:hAnsi="黑体" w:cs="黑体" w:hint="eastAsia"/>
          <w:szCs w:val="21"/>
        </w:rPr>
        <w:t xml:space="preserve"> </w:t>
      </w:r>
    </w:p>
    <w:p w14:paraId="534D4FC9" w14:textId="64119A08" w:rsidR="006074F0" w:rsidRDefault="006074F0" w:rsidP="006074F0">
      <w:pPr>
        <w:pStyle w:val="a8"/>
        <w:ind w:firstLineChars="0" w:firstLine="0"/>
        <w:rPr>
          <w:rFonts w:ascii="黑体" w:eastAsia="黑体" w:hAnsi="黑体" w:cs="黑体" w:hint="eastAsia"/>
          <w:szCs w:val="21"/>
        </w:rPr>
      </w:pPr>
      <w:r>
        <w:rPr>
          <w:rFonts w:ascii="黑体" w:eastAsia="黑体" w:hAnsi="黑体" w:cs="黑体" w:hint="eastAsia"/>
          <w:szCs w:val="21"/>
        </w:rPr>
        <w:t xml:space="preserve">    </w:t>
      </w:r>
      <w:r w:rsidRPr="006074F0">
        <w:rPr>
          <w:rFonts w:ascii="黑体" w:eastAsia="黑体" w:hAnsi="黑体" w:cs="黑体"/>
          <w:szCs w:val="21"/>
        </w:rPr>
        <w:t>秸秆还田</w:t>
      </w:r>
      <w:r w:rsidR="00FE4538">
        <w:rPr>
          <w:rFonts w:ascii="黑体" w:eastAsia="黑体" w:hAnsi="黑体" w:cs="黑体" w:hint="eastAsia"/>
          <w:szCs w:val="21"/>
        </w:rPr>
        <w:t xml:space="preserve">  </w:t>
      </w:r>
      <w:r w:rsidR="00FE4538" w:rsidRPr="00FE4538">
        <w:rPr>
          <w:rFonts w:ascii="黑体" w:eastAsia="黑体" w:hAnsi="黑体" w:cs="黑体"/>
          <w:szCs w:val="21"/>
        </w:rPr>
        <w:t>straw returning to the field</w:t>
      </w:r>
    </w:p>
    <w:p w14:paraId="57FAABDB" w14:textId="0CF9A993" w:rsidR="006074F0" w:rsidRDefault="006074F0" w:rsidP="006074F0">
      <w:pPr>
        <w:pStyle w:val="a8"/>
        <w:rPr>
          <w:rFonts w:hAnsi="宋体" w:cs="宋体" w:hint="eastAsia"/>
          <w:szCs w:val="21"/>
        </w:rPr>
      </w:pPr>
      <w:r w:rsidRPr="006074F0">
        <w:rPr>
          <w:rFonts w:hAnsi="宋体" w:cs="宋体"/>
          <w:szCs w:val="21"/>
        </w:rPr>
        <w:t>前茬</w:t>
      </w:r>
      <w:r>
        <w:rPr>
          <w:rFonts w:hAnsi="宋体" w:cs="宋体" w:hint="eastAsia"/>
          <w:szCs w:val="21"/>
        </w:rPr>
        <w:t>水稻</w:t>
      </w:r>
      <w:r w:rsidRPr="006074F0">
        <w:rPr>
          <w:rFonts w:hAnsi="宋体" w:cs="宋体"/>
          <w:szCs w:val="21"/>
        </w:rPr>
        <w:t>收获时，将可收集秸秆全部切碎、均匀抛撒，并通过耕作混入耕层的作业方式。</w:t>
      </w:r>
    </w:p>
    <w:p w14:paraId="469FE898" w14:textId="32A339D9" w:rsidR="006074F0" w:rsidRDefault="006074F0" w:rsidP="006074F0">
      <w:pPr>
        <w:pStyle w:val="a8"/>
        <w:ind w:firstLineChars="0" w:firstLine="0"/>
        <w:rPr>
          <w:rFonts w:ascii="黑体" w:eastAsia="黑体" w:hAnsi="黑体" w:cs="黑体" w:hint="eastAsia"/>
          <w:szCs w:val="21"/>
        </w:rPr>
      </w:pPr>
      <w:r>
        <w:rPr>
          <w:rFonts w:ascii="黑体" w:eastAsia="黑体" w:hAnsi="黑体" w:cs="黑体" w:hint="eastAsia"/>
          <w:szCs w:val="21"/>
        </w:rPr>
        <w:t>3.</w:t>
      </w:r>
      <w:r w:rsidR="0023285B">
        <w:rPr>
          <w:rFonts w:ascii="黑体" w:eastAsia="黑体" w:hAnsi="黑体" w:cs="黑体" w:hint="eastAsia"/>
          <w:szCs w:val="21"/>
        </w:rPr>
        <w:t>3</w:t>
      </w:r>
    </w:p>
    <w:p w14:paraId="7FAAE89B" w14:textId="27CF332D" w:rsidR="006074F0" w:rsidRDefault="006074F0" w:rsidP="006074F0">
      <w:pPr>
        <w:pStyle w:val="a8"/>
        <w:ind w:firstLineChars="0" w:firstLine="0"/>
        <w:rPr>
          <w:rFonts w:ascii="黑体" w:eastAsia="黑体" w:hAnsi="黑体" w:cs="黑体" w:hint="eastAsia"/>
          <w:szCs w:val="21"/>
        </w:rPr>
      </w:pPr>
      <w:r>
        <w:rPr>
          <w:rFonts w:ascii="黑体" w:eastAsia="黑体" w:hAnsi="黑体" w:cs="黑体" w:hint="eastAsia"/>
          <w:szCs w:val="21"/>
        </w:rPr>
        <w:t xml:space="preserve">    </w:t>
      </w:r>
      <w:r w:rsidRPr="006074F0">
        <w:rPr>
          <w:rFonts w:ascii="黑体" w:eastAsia="黑体" w:hAnsi="黑体" w:cs="黑体"/>
          <w:szCs w:val="21"/>
        </w:rPr>
        <w:t>有机肥替代化肥</w:t>
      </w:r>
      <w:r w:rsidR="00FE4538">
        <w:rPr>
          <w:rFonts w:ascii="黑体" w:eastAsia="黑体" w:hAnsi="黑体" w:cs="黑体" w:hint="eastAsia"/>
          <w:szCs w:val="21"/>
        </w:rPr>
        <w:t xml:space="preserve">  </w:t>
      </w:r>
      <w:r w:rsidR="00FE4538" w:rsidRPr="00FE4538">
        <w:rPr>
          <w:rFonts w:ascii="黑体" w:eastAsia="黑体" w:hAnsi="黑体" w:cs="黑体"/>
          <w:szCs w:val="21"/>
        </w:rPr>
        <w:t>organic fertilizer substitution for chemical fertilizer</w:t>
      </w:r>
    </w:p>
    <w:p w14:paraId="5AAA76E5" w14:textId="2A56EE41" w:rsidR="006074F0" w:rsidRDefault="006074F0" w:rsidP="006074F0">
      <w:pPr>
        <w:pStyle w:val="a8"/>
        <w:rPr>
          <w:rFonts w:hAnsi="宋体" w:cs="宋体" w:hint="eastAsia"/>
          <w:szCs w:val="21"/>
        </w:rPr>
      </w:pPr>
      <w:r w:rsidRPr="006074F0">
        <w:rPr>
          <w:rFonts w:hAnsi="宋体" w:cs="宋体"/>
          <w:szCs w:val="21"/>
        </w:rPr>
        <w:t>以有机肥所含有效养分等量扣减部分化肥养分，在不增加总养分投入的条件下培肥土壤的施肥方式。</w:t>
      </w:r>
    </w:p>
    <w:p w14:paraId="58A0214E" w14:textId="7E151EB5" w:rsidR="006074F0" w:rsidRDefault="006074F0" w:rsidP="006074F0">
      <w:pPr>
        <w:pStyle w:val="a8"/>
        <w:ind w:firstLineChars="0" w:firstLine="0"/>
        <w:rPr>
          <w:rFonts w:ascii="黑体" w:eastAsia="黑体" w:hAnsi="黑体" w:cs="黑体" w:hint="eastAsia"/>
          <w:szCs w:val="21"/>
        </w:rPr>
      </w:pPr>
      <w:r>
        <w:rPr>
          <w:rFonts w:ascii="黑体" w:eastAsia="黑体" w:hAnsi="黑体" w:cs="黑体" w:hint="eastAsia"/>
          <w:szCs w:val="21"/>
        </w:rPr>
        <w:t>3.</w:t>
      </w:r>
      <w:r w:rsidR="0023285B">
        <w:rPr>
          <w:rFonts w:ascii="黑体" w:eastAsia="黑体" w:hAnsi="黑体" w:cs="黑体" w:hint="eastAsia"/>
          <w:szCs w:val="21"/>
        </w:rPr>
        <w:t>4</w:t>
      </w:r>
      <w:r>
        <w:rPr>
          <w:rFonts w:ascii="黑体" w:eastAsia="黑体" w:hAnsi="黑体" w:cs="黑体" w:hint="eastAsia"/>
          <w:szCs w:val="21"/>
        </w:rPr>
        <w:t xml:space="preserve"> </w:t>
      </w:r>
    </w:p>
    <w:p w14:paraId="122A9FAE" w14:textId="7427C1AF" w:rsidR="006074F0" w:rsidRDefault="006074F0" w:rsidP="006074F0">
      <w:pPr>
        <w:pStyle w:val="a8"/>
        <w:ind w:firstLineChars="0" w:firstLine="0"/>
        <w:rPr>
          <w:rFonts w:ascii="黑体" w:eastAsia="黑体" w:hAnsi="黑体" w:cs="黑体" w:hint="eastAsia"/>
          <w:szCs w:val="21"/>
        </w:rPr>
      </w:pPr>
      <w:r>
        <w:rPr>
          <w:rFonts w:ascii="黑体" w:eastAsia="黑体" w:hAnsi="黑体" w:cs="黑体" w:hint="eastAsia"/>
          <w:szCs w:val="21"/>
        </w:rPr>
        <w:lastRenderedPageBreak/>
        <w:t xml:space="preserve">    </w:t>
      </w:r>
      <w:r w:rsidRPr="006074F0">
        <w:rPr>
          <w:rFonts w:ascii="黑体" w:eastAsia="黑体" w:hAnsi="黑体" w:cs="黑体"/>
          <w:szCs w:val="21"/>
        </w:rPr>
        <w:t>种肥同播</w:t>
      </w:r>
      <w:r w:rsidR="00FE4538">
        <w:rPr>
          <w:rFonts w:ascii="黑体" w:eastAsia="黑体" w:hAnsi="黑体" w:cs="黑体" w:hint="eastAsia"/>
          <w:szCs w:val="21"/>
        </w:rPr>
        <w:t xml:space="preserve">  s</w:t>
      </w:r>
      <w:r w:rsidR="00FE4538" w:rsidRPr="00FE4538">
        <w:rPr>
          <w:rFonts w:ascii="黑体" w:eastAsia="黑体" w:hAnsi="黑体" w:cs="黑体"/>
          <w:szCs w:val="21"/>
        </w:rPr>
        <w:t>eed and fertilizer simultaneous application</w:t>
      </w:r>
    </w:p>
    <w:p w14:paraId="083C90BC" w14:textId="4B03C21C" w:rsidR="006074F0" w:rsidRDefault="006074F0" w:rsidP="006074F0">
      <w:pPr>
        <w:pStyle w:val="a8"/>
        <w:rPr>
          <w:rFonts w:hAnsi="宋体" w:cs="宋体" w:hint="eastAsia"/>
          <w:szCs w:val="21"/>
        </w:rPr>
      </w:pPr>
      <w:r w:rsidRPr="006074F0">
        <w:rPr>
          <w:rFonts w:hAnsi="宋体" w:cs="宋体"/>
          <w:szCs w:val="21"/>
        </w:rPr>
        <w:t>使用复式播种机一次完成施肥、播种、覆土和镇压，并保持种子与肥料空间隔离的作业方式。</w:t>
      </w:r>
    </w:p>
    <w:p w14:paraId="16892A75" w14:textId="663E8C8F" w:rsidR="006074F0" w:rsidRDefault="006074F0" w:rsidP="006074F0">
      <w:pPr>
        <w:pStyle w:val="a8"/>
        <w:ind w:firstLineChars="0" w:firstLine="0"/>
        <w:rPr>
          <w:rFonts w:ascii="黑体" w:eastAsia="黑体" w:hAnsi="黑体" w:cs="黑体" w:hint="eastAsia"/>
          <w:szCs w:val="21"/>
        </w:rPr>
      </w:pPr>
      <w:r>
        <w:rPr>
          <w:rFonts w:ascii="黑体" w:eastAsia="黑体" w:hAnsi="黑体" w:cs="黑体" w:hint="eastAsia"/>
          <w:szCs w:val="21"/>
        </w:rPr>
        <w:t>3.</w:t>
      </w:r>
      <w:r w:rsidR="0023285B">
        <w:rPr>
          <w:rFonts w:ascii="黑体" w:eastAsia="黑体" w:hAnsi="黑体" w:cs="黑体" w:hint="eastAsia"/>
          <w:szCs w:val="21"/>
        </w:rPr>
        <w:t>5</w:t>
      </w:r>
      <w:r>
        <w:rPr>
          <w:rFonts w:ascii="黑体" w:eastAsia="黑体" w:hAnsi="黑体" w:cs="黑体" w:hint="eastAsia"/>
          <w:szCs w:val="21"/>
        </w:rPr>
        <w:t xml:space="preserve"> </w:t>
      </w:r>
    </w:p>
    <w:p w14:paraId="272E79C9" w14:textId="21A0C69D" w:rsidR="006074F0" w:rsidRDefault="006074F0" w:rsidP="006074F0">
      <w:pPr>
        <w:pStyle w:val="a8"/>
        <w:ind w:firstLineChars="0" w:firstLine="0"/>
        <w:rPr>
          <w:rFonts w:ascii="黑体" w:eastAsia="黑体" w:hAnsi="黑体" w:cs="黑体" w:hint="eastAsia"/>
          <w:szCs w:val="21"/>
        </w:rPr>
      </w:pPr>
      <w:r>
        <w:rPr>
          <w:rFonts w:ascii="黑体" w:eastAsia="黑体" w:hAnsi="黑体" w:cs="黑体" w:hint="eastAsia"/>
          <w:szCs w:val="21"/>
        </w:rPr>
        <w:t xml:space="preserve">    土壤培肥</w:t>
      </w:r>
      <w:r w:rsidR="00FE4538">
        <w:rPr>
          <w:rFonts w:ascii="黑体" w:eastAsia="黑体" w:hAnsi="黑体" w:cs="黑体" w:hint="eastAsia"/>
          <w:szCs w:val="21"/>
        </w:rPr>
        <w:t xml:space="preserve">  </w:t>
      </w:r>
      <w:r w:rsidR="00FE4538" w:rsidRPr="00FE4538">
        <w:rPr>
          <w:rFonts w:ascii="黑体" w:eastAsia="黑体" w:hAnsi="黑体" w:cs="黑体"/>
          <w:szCs w:val="21"/>
        </w:rPr>
        <w:t>soil fertility improvement</w:t>
      </w:r>
    </w:p>
    <w:p w14:paraId="3D02DF19" w14:textId="5DD8B225" w:rsidR="006074F0" w:rsidRDefault="006074F0" w:rsidP="006074F0">
      <w:pPr>
        <w:pStyle w:val="a8"/>
        <w:rPr>
          <w:rFonts w:hAnsi="宋体" w:cs="宋体" w:hint="eastAsia"/>
          <w:szCs w:val="21"/>
        </w:rPr>
      </w:pPr>
      <w:r w:rsidRPr="006074F0">
        <w:rPr>
          <w:rFonts w:hAnsi="宋体" w:cs="宋体" w:hint="eastAsia"/>
          <w:szCs w:val="21"/>
        </w:rPr>
        <w:t>在</w:t>
      </w:r>
      <w:r>
        <w:rPr>
          <w:rFonts w:hAnsi="宋体" w:cs="宋体" w:hint="eastAsia"/>
          <w:szCs w:val="21"/>
        </w:rPr>
        <w:t>小麦种植前</w:t>
      </w:r>
      <w:r w:rsidRPr="006074F0">
        <w:rPr>
          <w:rFonts w:hAnsi="宋体" w:cs="宋体" w:hint="eastAsia"/>
          <w:szCs w:val="21"/>
        </w:rPr>
        <w:t>，</w:t>
      </w:r>
      <w:r>
        <w:rPr>
          <w:rFonts w:hAnsi="宋体" w:cs="宋体" w:hint="eastAsia"/>
          <w:szCs w:val="21"/>
        </w:rPr>
        <w:t>通过</w:t>
      </w:r>
      <w:r w:rsidRPr="006074F0">
        <w:rPr>
          <w:rFonts w:hAnsi="宋体" w:cs="宋体" w:hint="eastAsia"/>
          <w:szCs w:val="21"/>
        </w:rPr>
        <w:t>施用有机物料</w:t>
      </w:r>
      <w:r>
        <w:rPr>
          <w:rFonts w:hAnsi="宋体" w:cs="宋体" w:hint="eastAsia"/>
          <w:szCs w:val="21"/>
        </w:rPr>
        <w:t>、</w:t>
      </w:r>
      <w:r w:rsidRPr="006074F0">
        <w:rPr>
          <w:rFonts w:hAnsi="宋体" w:cs="宋体" w:hint="eastAsia"/>
          <w:szCs w:val="21"/>
        </w:rPr>
        <w:t>无机肥料</w:t>
      </w:r>
      <w:r>
        <w:rPr>
          <w:rFonts w:hAnsi="宋体" w:cs="宋体" w:hint="eastAsia"/>
          <w:szCs w:val="21"/>
        </w:rPr>
        <w:t>和优化</w:t>
      </w:r>
      <w:r w:rsidRPr="006074F0">
        <w:rPr>
          <w:rFonts w:hAnsi="宋体" w:cs="宋体" w:hint="eastAsia"/>
          <w:szCs w:val="21"/>
        </w:rPr>
        <w:t>耕作措施</w:t>
      </w:r>
      <w:r>
        <w:rPr>
          <w:rFonts w:hAnsi="宋体" w:cs="宋体" w:hint="eastAsia"/>
          <w:szCs w:val="21"/>
        </w:rPr>
        <w:t>等</w:t>
      </w:r>
      <w:r w:rsidRPr="006074F0">
        <w:rPr>
          <w:rFonts w:hAnsi="宋体" w:cs="宋体" w:hint="eastAsia"/>
          <w:szCs w:val="21"/>
        </w:rPr>
        <w:t>手段，</w:t>
      </w:r>
      <w:r>
        <w:rPr>
          <w:rFonts w:hAnsi="宋体" w:cs="宋体" w:hint="eastAsia"/>
          <w:szCs w:val="21"/>
        </w:rPr>
        <w:t>改变土壤结构、</w:t>
      </w:r>
      <w:r w:rsidRPr="006074F0">
        <w:rPr>
          <w:rFonts w:hAnsi="宋体" w:cs="宋体" w:hint="eastAsia"/>
          <w:szCs w:val="21"/>
        </w:rPr>
        <w:t>提高土壤有机质含量，改善土壤理化性质，使土壤肥力提升的措施。</w:t>
      </w:r>
    </w:p>
    <w:p w14:paraId="47B3F0AE" w14:textId="77777777" w:rsidR="00FE4538" w:rsidRDefault="00FE4538" w:rsidP="00FE4538">
      <w:pPr>
        <w:pStyle w:val="a"/>
        <w:numPr>
          <w:ilvl w:val="0"/>
          <w:numId w:val="0"/>
        </w:numPr>
      </w:pPr>
      <w:r>
        <w:rPr>
          <w:rFonts w:hint="eastAsia"/>
        </w:rPr>
        <w:t>4  总体要求</w:t>
      </w:r>
    </w:p>
    <w:p w14:paraId="2EBCCC60" w14:textId="7B17A027" w:rsidR="00FE4538" w:rsidRPr="00FE4538" w:rsidRDefault="00FE4538" w:rsidP="00FF5C81">
      <w:pPr>
        <w:pStyle w:val="a8"/>
        <w:spacing w:beforeLines="100" w:before="312"/>
        <w:ind w:firstLineChars="0" w:firstLine="0"/>
        <w:rPr>
          <w:rFonts w:ascii="黑体" w:eastAsia="黑体" w:hAnsi="黑体" w:cs="黑体" w:hint="eastAsia"/>
          <w:szCs w:val="21"/>
        </w:rPr>
      </w:pPr>
      <w:r w:rsidRPr="00FE4538">
        <w:rPr>
          <w:rFonts w:ascii="黑体" w:eastAsia="黑体" w:hAnsi="黑体" w:cs="黑体"/>
          <w:szCs w:val="21"/>
        </w:rPr>
        <w:t>4.1  生产目标</w:t>
      </w:r>
    </w:p>
    <w:p w14:paraId="246330CF" w14:textId="77777777" w:rsidR="00FE4538" w:rsidRPr="00FE4538" w:rsidRDefault="00FE4538" w:rsidP="00FF5C81">
      <w:pPr>
        <w:pStyle w:val="a8"/>
        <w:spacing w:beforeLines="100" w:before="312"/>
        <w:rPr>
          <w:rFonts w:hAnsi="宋体" w:cs="宋体" w:hint="eastAsia"/>
          <w:szCs w:val="21"/>
        </w:rPr>
      </w:pPr>
      <w:r w:rsidRPr="00FE4538">
        <w:rPr>
          <w:rFonts w:hAnsi="宋体" w:cs="宋体"/>
          <w:szCs w:val="21"/>
        </w:rPr>
        <w:t>应以稳产高产、培肥耕层、养分高效和雨后快速排水为目标，将土壤改良和施肥措施嵌入前茬收获至小麦收获的全过程。</w:t>
      </w:r>
    </w:p>
    <w:p w14:paraId="0C543318" w14:textId="77777777" w:rsidR="00FE4538" w:rsidRPr="00FE4538" w:rsidRDefault="00FE4538" w:rsidP="00FF5C81">
      <w:pPr>
        <w:pStyle w:val="a8"/>
        <w:spacing w:beforeLines="100" w:before="312"/>
        <w:ind w:firstLineChars="0" w:firstLine="0"/>
        <w:rPr>
          <w:rFonts w:ascii="黑体" w:eastAsia="黑体" w:hAnsi="黑体" w:cs="黑体" w:hint="eastAsia"/>
          <w:szCs w:val="21"/>
        </w:rPr>
      </w:pPr>
      <w:r w:rsidRPr="00FE4538">
        <w:rPr>
          <w:rFonts w:ascii="黑体" w:eastAsia="黑体" w:hAnsi="黑体" w:cs="黑体"/>
          <w:szCs w:val="21"/>
        </w:rPr>
        <w:t>4.2  地块要求</w:t>
      </w:r>
    </w:p>
    <w:p w14:paraId="1538D48C" w14:textId="77777777" w:rsidR="00FE4538" w:rsidRPr="00FE4538" w:rsidRDefault="00FE4538" w:rsidP="00FF5C81">
      <w:pPr>
        <w:pStyle w:val="a8"/>
        <w:spacing w:beforeLines="100" w:before="312"/>
        <w:rPr>
          <w:rFonts w:hAnsi="宋体" w:cs="宋体" w:hint="eastAsia"/>
          <w:szCs w:val="21"/>
        </w:rPr>
      </w:pPr>
      <w:r w:rsidRPr="00FE4538">
        <w:rPr>
          <w:rFonts w:hAnsi="宋体" w:cs="宋体"/>
          <w:szCs w:val="21"/>
        </w:rPr>
        <w:t>宜选择地势平整、耕层较厚、排水出口通畅且适于机械作业的田块。低洼易涝地块应先完善田外排水系统。</w:t>
      </w:r>
    </w:p>
    <w:p w14:paraId="403EB482" w14:textId="77777777" w:rsidR="00FE4538" w:rsidRPr="00FF5C81" w:rsidRDefault="00FE4538" w:rsidP="00FF5C81">
      <w:pPr>
        <w:pStyle w:val="a8"/>
        <w:spacing w:beforeLines="100" w:before="312"/>
        <w:ind w:firstLineChars="0" w:firstLine="0"/>
        <w:rPr>
          <w:rFonts w:ascii="黑体" w:eastAsia="黑体" w:hAnsi="黑体" w:cs="黑体" w:hint="eastAsia"/>
          <w:szCs w:val="21"/>
        </w:rPr>
      </w:pPr>
      <w:r w:rsidRPr="00FE4538">
        <w:rPr>
          <w:rFonts w:ascii="黑体" w:eastAsia="黑体" w:hAnsi="黑体" w:cs="黑体"/>
          <w:szCs w:val="21"/>
        </w:rPr>
        <w:t>4.3  土壤诊断</w:t>
      </w:r>
    </w:p>
    <w:p w14:paraId="409FBB2A" w14:textId="77777777" w:rsidR="00FE4538" w:rsidRPr="00FE4538" w:rsidRDefault="00FE4538" w:rsidP="00FF5C81">
      <w:pPr>
        <w:pStyle w:val="a8"/>
        <w:spacing w:beforeLines="100" w:before="312"/>
        <w:rPr>
          <w:rFonts w:hAnsi="宋体" w:cs="宋体" w:hint="eastAsia"/>
          <w:szCs w:val="21"/>
        </w:rPr>
      </w:pPr>
      <w:r w:rsidRPr="00FE4538">
        <w:rPr>
          <w:rFonts w:hAnsi="宋体" w:cs="宋体"/>
          <w:szCs w:val="21"/>
        </w:rPr>
        <w:t>播前应掌握0 cm～20 cm耕层的pH、有机质、有效磷和速效钾等指标。连续实施本规程的地块宜每2年～3年检测一次，并据此确定有机肥替代比例和化肥用量。</w:t>
      </w:r>
    </w:p>
    <w:p w14:paraId="4ADC0F3A" w14:textId="77777777" w:rsidR="00FE4538" w:rsidRPr="00FE4538" w:rsidRDefault="00FE4538" w:rsidP="00FF5C81">
      <w:pPr>
        <w:pStyle w:val="a8"/>
        <w:spacing w:beforeLines="100" w:before="312"/>
        <w:ind w:firstLineChars="0" w:firstLine="0"/>
        <w:rPr>
          <w:rFonts w:ascii="黑体" w:eastAsia="黑体" w:hAnsi="黑体" w:cs="黑体" w:hint="eastAsia"/>
          <w:szCs w:val="21"/>
        </w:rPr>
      </w:pPr>
      <w:r w:rsidRPr="00FE4538">
        <w:rPr>
          <w:rFonts w:ascii="黑体" w:eastAsia="黑体" w:hAnsi="黑体" w:cs="黑体"/>
          <w:szCs w:val="21"/>
        </w:rPr>
        <w:t>4.4  投入品要求</w:t>
      </w:r>
    </w:p>
    <w:p w14:paraId="7740FD28" w14:textId="77777777" w:rsidR="00FE4538" w:rsidRPr="00FE4538" w:rsidRDefault="00FE4538" w:rsidP="00FF5C81">
      <w:pPr>
        <w:pStyle w:val="a8"/>
        <w:spacing w:beforeLines="100" w:before="312"/>
        <w:rPr>
          <w:rFonts w:hAnsi="宋体" w:cs="宋体" w:hint="eastAsia"/>
          <w:szCs w:val="21"/>
        </w:rPr>
      </w:pPr>
      <w:r w:rsidRPr="00FE4538">
        <w:rPr>
          <w:rFonts w:hAnsi="宋体" w:cs="宋体"/>
          <w:szCs w:val="21"/>
        </w:rPr>
        <w:t>种子、肥料和农药应符合相应产品标准和登记要求。有机肥应充分腐熟，不应使用未经无害化处理的粪肥或来源不明的有机物料。</w:t>
      </w:r>
    </w:p>
    <w:p w14:paraId="001238F5" w14:textId="77777777" w:rsidR="00FF5C81" w:rsidRPr="00FF5C81" w:rsidRDefault="00FF5C81" w:rsidP="00FF5C81">
      <w:pPr>
        <w:pStyle w:val="a"/>
        <w:numPr>
          <w:ilvl w:val="0"/>
          <w:numId w:val="0"/>
        </w:numPr>
      </w:pPr>
      <w:r w:rsidRPr="00FF5C81">
        <w:rPr>
          <w:rFonts w:hint="eastAsia"/>
        </w:rPr>
        <w:t>5　播前土壤培肥与整地</w:t>
      </w:r>
    </w:p>
    <w:p w14:paraId="561FB2D2"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5.1  作业顺序</w:t>
      </w:r>
    </w:p>
    <w:p w14:paraId="191BF563" w14:textId="77777777" w:rsidR="00FF5C81" w:rsidRPr="00FF5C81" w:rsidRDefault="00FF5C81" w:rsidP="00FF5C81">
      <w:pPr>
        <w:pStyle w:val="a8"/>
        <w:spacing w:beforeLines="100" w:before="312"/>
        <w:rPr>
          <w:rFonts w:hAnsi="宋体" w:cs="宋体" w:hint="eastAsia"/>
          <w:szCs w:val="21"/>
        </w:rPr>
      </w:pPr>
      <w:r w:rsidRPr="00FF5C81">
        <w:rPr>
          <w:rFonts w:hAnsi="宋体" w:cs="宋体" w:hint="eastAsia"/>
          <w:szCs w:val="21"/>
        </w:rPr>
        <w:t>宜按前茬适期收获、秸秆切碎匀铺、排水散墒、有机肥和基肥施用、深翻或旋耕、耙平镇实、开挖三沟的顺序组织作业。土壤过湿时不应强行耕作。</w:t>
      </w:r>
    </w:p>
    <w:p w14:paraId="60A1A8EF"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5.2  秸秆全量粉碎还田</w:t>
      </w:r>
    </w:p>
    <w:p w14:paraId="34DACE17" w14:textId="77777777" w:rsidR="00FF5C81" w:rsidRPr="00FF5C81" w:rsidRDefault="00FF5C81" w:rsidP="00FF5C81">
      <w:pPr>
        <w:pStyle w:val="a8"/>
        <w:spacing w:beforeLines="100" w:before="312"/>
        <w:rPr>
          <w:rFonts w:hAnsi="宋体" w:cs="宋体" w:hint="eastAsia"/>
          <w:szCs w:val="21"/>
        </w:rPr>
      </w:pPr>
      <w:r w:rsidRPr="00FF5C81">
        <w:rPr>
          <w:rFonts w:hAnsi="宋体" w:cs="宋体" w:hint="eastAsia"/>
          <w:szCs w:val="21"/>
        </w:rPr>
        <w:t>前茬收获机械应配备秸秆切碎和抛撒装置。留茬高度宜不大于15 cm，秸秆粉碎长度宜为5 cm左右且不大于8 cm，切碎物应均匀覆盖作业幅面；局部堆积处应及时摊匀。作业质量应符合NY/T 500的规定。</w:t>
      </w:r>
    </w:p>
    <w:p w14:paraId="12F3BA56"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5.3  有机肥施用</w:t>
      </w:r>
    </w:p>
    <w:p w14:paraId="2B403322" w14:textId="77777777" w:rsidR="00FF5C81" w:rsidRPr="00FF5C81" w:rsidRDefault="00FF5C81" w:rsidP="00FF5C81">
      <w:pPr>
        <w:pStyle w:val="a8"/>
        <w:spacing w:beforeLines="100" w:before="312"/>
        <w:rPr>
          <w:rFonts w:hAnsi="宋体" w:cs="宋体" w:hint="eastAsia"/>
          <w:szCs w:val="21"/>
        </w:rPr>
      </w:pPr>
      <w:r w:rsidRPr="00FF5C81">
        <w:rPr>
          <w:rFonts w:hAnsi="宋体" w:cs="宋体" w:hint="eastAsia"/>
          <w:szCs w:val="21"/>
        </w:rPr>
        <w:lastRenderedPageBreak/>
        <w:t>有机肥宜在深翻或旋耕前均匀撒施。商品有机肥一般施用150 kg～300 kg/667 m²，或施用等养分量的充分腐熟农家肥；具体用量应依据养分检测值、土壤有机质和连续施用年限确定。</w:t>
      </w:r>
    </w:p>
    <w:p w14:paraId="58F67A8A" w14:textId="77777777" w:rsidR="00FF5C81" w:rsidRPr="00FF5C81" w:rsidRDefault="00FF5C81" w:rsidP="00260AD0">
      <w:pPr>
        <w:pStyle w:val="a8"/>
        <w:rPr>
          <w:rFonts w:hAnsi="宋体" w:cs="宋体" w:hint="eastAsia"/>
          <w:szCs w:val="21"/>
        </w:rPr>
      </w:pPr>
      <w:r w:rsidRPr="00FF5C81">
        <w:rPr>
          <w:rFonts w:hAnsi="宋体" w:cs="宋体" w:hint="eastAsia"/>
          <w:szCs w:val="21"/>
        </w:rPr>
        <w:t>有机肥提供的氮、磷、钾应计入总养分投入。商品有机肥和生物有机肥应分别符合NY/T 525和NY 884的规定，有毒有害物质限量应符合GB 38400的规定。</w:t>
      </w:r>
    </w:p>
    <w:p w14:paraId="02C7DC26"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5.4  深翻和整地</w:t>
      </w:r>
    </w:p>
    <w:p w14:paraId="0C6C8536" w14:textId="37D38E29" w:rsidR="00FF5C81" w:rsidRPr="00FF5C81" w:rsidRDefault="00FF5C81" w:rsidP="00260AD0">
      <w:pPr>
        <w:pStyle w:val="a8"/>
        <w:spacing w:beforeLines="100" w:before="312"/>
        <w:rPr>
          <w:rFonts w:hAnsi="宋体" w:cs="宋体" w:hint="eastAsia"/>
          <w:szCs w:val="21"/>
        </w:rPr>
      </w:pPr>
      <w:r w:rsidRPr="00FF5C81">
        <w:rPr>
          <w:rFonts w:hAnsi="宋体" w:cs="宋体" w:hint="eastAsia"/>
          <w:szCs w:val="21"/>
        </w:rPr>
        <w:t>连续旋耕2年～3年的田块宜深翻1次，深度宜为25 cm～30 cm，将秸秆和有机肥均匀翻入耕层。耕层小于15 cm的田块宜逐年加深2 cm～3 cm，避免一次翻出过多生土。非深翻年份宜旋耕12 cm～15 cm。</w:t>
      </w:r>
    </w:p>
    <w:p w14:paraId="3A3F3259"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5.5  三沟配套</w:t>
      </w:r>
    </w:p>
    <w:p w14:paraId="06B82D40" w14:textId="604302EB" w:rsidR="00FF5C81" w:rsidRPr="00FF5C81" w:rsidRDefault="00FF5C81" w:rsidP="00260AD0">
      <w:pPr>
        <w:pStyle w:val="a8"/>
        <w:spacing w:beforeLines="100" w:before="312"/>
        <w:rPr>
          <w:rFonts w:hAnsi="宋体" w:cs="宋体" w:hint="eastAsia"/>
          <w:szCs w:val="21"/>
        </w:rPr>
      </w:pPr>
      <w:r w:rsidRPr="00FF5C81">
        <w:rPr>
          <w:rFonts w:hAnsi="宋体" w:cs="宋体" w:hint="eastAsia"/>
          <w:szCs w:val="21"/>
        </w:rPr>
        <w:t>稻茬</w:t>
      </w:r>
      <w:r w:rsidR="0023285B">
        <w:rPr>
          <w:rFonts w:hAnsi="宋体" w:cs="宋体" w:hint="eastAsia"/>
          <w:szCs w:val="21"/>
        </w:rPr>
        <w:t>小麦</w:t>
      </w:r>
      <w:r w:rsidRPr="00FF5C81">
        <w:rPr>
          <w:rFonts w:hAnsi="宋体" w:cs="宋体" w:hint="eastAsia"/>
          <w:szCs w:val="21"/>
        </w:rPr>
        <w:t>田宜按2.5 m～3.0 m作畦，畦沟、腰沟和围沟深度宜分别为25 cm、30 cm和35 cm，沟宽宜分别为30 cm、35 cm和40 cm</w:t>
      </w:r>
      <w:r w:rsidR="00F83831">
        <w:rPr>
          <w:rFonts w:hAnsi="宋体" w:cs="宋体" w:hint="eastAsia"/>
          <w:szCs w:val="21"/>
        </w:rPr>
        <w:t>，机械开沟的</w:t>
      </w:r>
      <w:r w:rsidR="0023285B" w:rsidRPr="0023285B">
        <w:rPr>
          <w:rFonts w:hAnsi="宋体" w:cs="宋体"/>
          <w:szCs w:val="21"/>
        </w:rPr>
        <w:t>作业质量应符合NY/T 740的规定。</w:t>
      </w:r>
    </w:p>
    <w:p w14:paraId="62AC944A"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5.6  品种与种子处理</w:t>
      </w:r>
    </w:p>
    <w:p w14:paraId="390FA56D" w14:textId="733A9623" w:rsidR="006074F0" w:rsidRPr="00FF5C81" w:rsidRDefault="00FF5C81" w:rsidP="00FF5C81">
      <w:pPr>
        <w:pStyle w:val="a8"/>
        <w:spacing w:beforeLines="100" w:before="312"/>
        <w:rPr>
          <w:rFonts w:hAnsi="宋体" w:cs="宋体" w:hint="eastAsia"/>
          <w:szCs w:val="21"/>
        </w:rPr>
      </w:pPr>
      <w:r w:rsidRPr="00FF5C81">
        <w:rPr>
          <w:rFonts w:hAnsi="宋体" w:cs="宋体" w:hint="eastAsia"/>
          <w:szCs w:val="21"/>
        </w:rPr>
        <w:t>应选用通过审定、适宜当地生态和茬口的高产、抗倒、耐渍、抗病品种。种子质量应符合GB/T 4404.1的规定。应根据当地病虫害发生规律选用登记药剂进行包衣或拌种。药剂用量不得随意增加，处理后应阴干并及时播种。</w:t>
      </w:r>
    </w:p>
    <w:p w14:paraId="1FC48534" w14:textId="77777777" w:rsidR="00FF5C81" w:rsidRPr="00FF5C81" w:rsidRDefault="00FF5C81" w:rsidP="00FF5C81">
      <w:pPr>
        <w:pStyle w:val="a"/>
        <w:numPr>
          <w:ilvl w:val="0"/>
          <w:numId w:val="0"/>
        </w:numPr>
      </w:pPr>
      <w:r w:rsidRPr="00FF5C81">
        <w:rPr>
          <w:rFonts w:hint="eastAsia"/>
        </w:rPr>
        <w:t>6　播种与高效施肥</w:t>
      </w:r>
    </w:p>
    <w:p w14:paraId="5136D30A"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6.1  适期适墒播种</w:t>
      </w:r>
    </w:p>
    <w:p w14:paraId="3F4AF47C" w14:textId="5C9E96E0" w:rsidR="00FF5C81" w:rsidRPr="00FF5C81" w:rsidRDefault="00FF5C81" w:rsidP="00FF5C81">
      <w:pPr>
        <w:pStyle w:val="a8"/>
        <w:spacing w:beforeLines="100" w:before="312"/>
        <w:rPr>
          <w:rFonts w:hAnsi="宋体" w:cs="宋体" w:hint="eastAsia"/>
          <w:szCs w:val="21"/>
        </w:rPr>
      </w:pPr>
      <w:r w:rsidRPr="00FF5C81">
        <w:rPr>
          <w:rFonts w:hAnsi="宋体" w:cs="宋体" w:hint="eastAsia"/>
          <w:szCs w:val="21"/>
        </w:rPr>
        <w:t>应根据品种冬春性、前茬腾茬时间和当地气温确定播期。长江中下游地区半冬性品种宜在10月中下旬播种，弱春性品种宜在10月下旬至11月上旬播种；遇连阴雨应先排水散墒，在土壤可耕可播时抢播</w:t>
      </w:r>
      <w:r w:rsidR="00F83831">
        <w:rPr>
          <w:rFonts w:hAnsi="宋体" w:cs="宋体" w:hint="eastAsia"/>
          <w:szCs w:val="21"/>
        </w:rPr>
        <w:t>，其它栽培措施</w:t>
      </w:r>
      <w:r w:rsidR="00F83831" w:rsidRPr="00F83831">
        <w:rPr>
          <w:rFonts w:hAnsi="宋体" w:cs="宋体"/>
          <w:szCs w:val="21"/>
        </w:rPr>
        <w:t>参照NY/T 3247的</w:t>
      </w:r>
      <w:r w:rsidR="00F83831">
        <w:rPr>
          <w:rFonts w:hAnsi="宋体" w:cs="宋体" w:hint="eastAsia"/>
          <w:szCs w:val="21"/>
        </w:rPr>
        <w:t>相关</w:t>
      </w:r>
      <w:r w:rsidR="00F83831" w:rsidRPr="00F83831">
        <w:rPr>
          <w:rFonts w:hAnsi="宋体" w:cs="宋体"/>
          <w:szCs w:val="21"/>
        </w:rPr>
        <w:t>规定。</w:t>
      </w:r>
    </w:p>
    <w:p w14:paraId="39920852"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6.2  播种量</w:t>
      </w:r>
    </w:p>
    <w:p w14:paraId="3256125F" w14:textId="77777777" w:rsidR="00FF5C81" w:rsidRPr="00FF5C81" w:rsidRDefault="00FF5C81" w:rsidP="00FF5C81">
      <w:pPr>
        <w:pStyle w:val="a8"/>
        <w:spacing w:beforeLines="100" w:before="312"/>
        <w:rPr>
          <w:rFonts w:hAnsi="宋体" w:cs="宋体" w:hint="eastAsia"/>
          <w:szCs w:val="21"/>
        </w:rPr>
      </w:pPr>
      <w:r w:rsidRPr="00FF5C81">
        <w:rPr>
          <w:rFonts w:hAnsi="宋体" w:cs="宋体" w:hint="eastAsia"/>
          <w:szCs w:val="21"/>
        </w:rPr>
        <w:t>适期播种时，半冬性品种播种量宜为8 kg～10 kg/667 m²，弱春性品种宜为10 kg～15 kg/667 m²。应按种子发芽率、千粒重、整地质量和基本苗目标校正播量；晚播田可适当增加，但不宜超过17.5 kg/667 m²。</w:t>
      </w:r>
    </w:p>
    <w:p w14:paraId="2B0BA586"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6.3  养分投入与有机替代</w:t>
      </w:r>
    </w:p>
    <w:p w14:paraId="2EFEF849" w14:textId="78D9C571" w:rsidR="006074F0" w:rsidRDefault="00FF5C81" w:rsidP="00FF5C81">
      <w:pPr>
        <w:pStyle w:val="a8"/>
        <w:spacing w:beforeLines="100" w:before="312"/>
        <w:rPr>
          <w:rFonts w:hAnsi="宋体" w:cs="宋体" w:hint="eastAsia"/>
          <w:szCs w:val="21"/>
        </w:rPr>
      </w:pPr>
      <w:r w:rsidRPr="00FF5C81">
        <w:rPr>
          <w:rFonts w:hAnsi="宋体" w:cs="宋体" w:hint="eastAsia"/>
          <w:szCs w:val="21"/>
        </w:rPr>
        <w:t>应实行测土配方施肥和有机无机配施。肥料品种及施用应符合GB/T 15063、NY/T 496和NY/T 1112的规定，推荐养分投入与氮肥运筹见表1。</w:t>
      </w:r>
    </w:p>
    <w:p w14:paraId="7CE2D824" w14:textId="77777777" w:rsidR="00260AD0" w:rsidRDefault="00260AD0" w:rsidP="00FF5C81">
      <w:pPr>
        <w:pStyle w:val="a8"/>
        <w:spacing w:beforeLines="100" w:before="312"/>
        <w:rPr>
          <w:rFonts w:hAnsi="宋体" w:cs="宋体" w:hint="eastAsia"/>
          <w:szCs w:val="21"/>
        </w:rPr>
      </w:pPr>
    </w:p>
    <w:p w14:paraId="790B61B2" w14:textId="77777777" w:rsidR="00FF5C81" w:rsidRPr="00FF5C81" w:rsidRDefault="00FF5C81" w:rsidP="00FF5C81">
      <w:pPr>
        <w:pStyle w:val="a8"/>
        <w:spacing w:beforeLines="100" w:before="312"/>
        <w:ind w:firstLineChars="0" w:firstLine="0"/>
        <w:jc w:val="center"/>
        <w:rPr>
          <w:rFonts w:ascii="黑体" w:eastAsia="黑体" w:hAnsi="黑体" w:cs="黑体" w:hint="eastAsia"/>
          <w:szCs w:val="21"/>
        </w:rPr>
      </w:pPr>
      <w:r w:rsidRPr="00FF5C81">
        <w:rPr>
          <w:rFonts w:ascii="黑体" w:eastAsia="黑体" w:hAnsi="黑体" w:cs="黑体"/>
          <w:szCs w:val="21"/>
        </w:rPr>
        <w:lastRenderedPageBreak/>
        <w:t>表1  雨养小麦养分投入与氮肥运筹</w:t>
      </w:r>
    </w:p>
    <w:p w14:paraId="7D933AE7" w14:textId="77777777" w:rsidR="00FF5C81" w:rsidRPr="00FF5C81" w:rsidRDefault="00FF5C81" w:rsidP="00FF5C81">
      <w:pPr>
        <w:pStyle w:val="a8"/>
        <w:ind w:firstLineChars="0" w:firstLine="0"/>
        <w:rPr>
          <w:rFonts w:hAnsi="宋体" w:cs="宋体" w:hint="eastAsia"/>
          <w:szCs w:val="21"/>
        </w:rPr>
      </w:pPr>
    </w:p>
    <w:tbl>
      <w:tblPr>
        <w:tblW w:w="8442" w:type="dxa"/>
        <w:jc w:val="center"/>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4A0" w:firstRow="1" w:lastRow="0" w:firstColumn="1" w:lastColumn="0" w:noHBand="0" w:noVBand="1"/>
      </w:tblPr>
      <w:tblGrid>
        <w:gridCol w:w="1486"/>
        <w:gridCol w:w="2977"/>
        <w:gridCol w:w="3979"/>
      </w:tblGrid>
      <w:tr w:rsidR="00FF5C81" w:rsidRPr="00FF5C81" w14:paraId="01394C11" w14:textId="77777777" w:rsidTr="00FF5C81">
        <w:trPr>
          <w:tblHeader/>
          <w:jc w:val="center"/>
        </w:trPr>
        <w:tc>
          <w:tcPr>
            <w:tcW w:w="1486" w:type="dxa"/>
            <w:shd w:val="clear" w:color="auto" w:fill="E7E6E6"/>
            <w:tcMar>
              <w:top w:w="90" w:type="dxa"/>
              <w:left w:w="100" w:type="dxa"/>
              <w:bottom w:w="90" w:type="dxa"/>
              <w:right w:w="100" w:type="dxa"/>
            </w:tcMar>
            <w:vAlign w:val="center"/>
          </w:tcPr>
          <w:p w14:paraId="44AFDFFA" w14:textId="77777777" w:rsidR="00FF5C81" w:rsidRPr="00FF5C81" w:rsidRDefault="00FF5C81" w:rsidP="00FF5C81">
            <w:pPr>
              <w:pStyle w:val="a8"/>
              <w:ind w:firstLine="422"/>
              <w:rPr>
                <w:rFonts w:hAnsi="宋体" w:cs="宋体" w:hint="eastAsia"/>
                <w:szCs w:val="21"/>
              </w:rPr>
            </w:pPr>
            <w:r w:rsidRPr="00FF5C81">
              <w:rPr>
                <w:rFonts w:hAnsi="宋体" w:cs="宋体"/>
                <w:b/>
                <w:szCs w:val="21"/>
              </w:rPr>
              <w:t>项目</w:t>
            </w:r>
          </w:p>
        </w:tc>
        <w:tc>
          <w:tcPr>
            <w:tcW w:w="2977" w:type="dxa"/>
            <w:shd w:val="clear" w:color="auto" w:fill="E7E6E6"/>
            <w:tcMar>
              <w:top w:w="90" w:type="dxa"/>
              <w:left w:w="100" w:type="dxa"/>
              <w:bottom w:w="90" w:type="dxa"/>
              <w:right w:w="100" w:type="dxa"/>
            </w:tcMar>
            <w:vAlign w:val="center"/>
          </w:tcPr>
          <w:p w14:paraId="2A304C78" w14:textId="77777777" w:rsidR="00FF5C81" w:rsidRPr="00FF5C81" w:rsidRDefault="00FF5C81" w:rsidP="00FF5C81">
            <w:pPr>
              <w:pStyle w:val="a8"/>
              <w:ind w:firstLine="422"/>
              <w:rPr>
                <w:rFonts w:hAnsi="宋体" w:cs="宋体" w:hint="eastAsia"/>
                <w:szCs w:val="21"/>
              </w:rPr>
            </w:pPr>
            <w:r w:rsidRPr="00FF5C81">
              <w:rPr>
                <w:rFonts w:hAnsi="宋体" w:cs="宋体"/>
                <w:b/>
                <w:szCs w:val="21"/>
              </w:rPr>
              <w:t>推荐值或比例</w:t>
            </w:r>
          </w:p>
        </w:tc>
        <w:tc>
          <w:tcPr>
            <w:tcW w:w="3979" w:type="dxa"/>
            <w:shd w:val="clear" w:color="auto" w:fill="E7E6E6"/>
            <w:tcMar>
              <w:top w:w="90" w:type="dxa"/>
              <w:left w:w="100" w:type="dxa"/>
              <w:bottom w:w="90" w:type="dxa"/>
              <w:right w:w="100" w:type="dxa"/>
            </w:tcMar>
            <w:vAlign w:val="center"/>
          </w:tcPr>
          <w:p w14:paraId="19F2587C" w14:textId="77777777" w:rsidR="00FF5C81" w:rsidRPr="00FF5C81" w:rsidRDefault="00FF5C81" w:rsidP="00FF5C81">
            <w:pPr>
              <w:pStyle w:val="a8"/>
              <w:ind w:firstLine="422"/>
              <w:rPr>
                <w:rFonts w:hAnsi="宋体" w:cs="宋体" w:hint="eastAsia"/>
                <w:szCs w:val="21"/>
              </w:rPr>
            </w:pPr>
            <w:r w:rsidRPr="00FF5C81">
              <w:rPr>
                <w:rFonts w:hAnsi="宋体" w:cs="宋体"/>
                <w:b/>
                <w:szCs w:val="21"/>
              </w:rPr>
              <w:t>操作要求</w:t>
            </w:r>
          </w:p>
        </w:tc>
      </w:tr>
      <w:tr w:rsidR="00FF5C81" w:rsidRPr="00FF5C81" w14:paraId="0B42B113" w14:textId="77777777" w:rsidTr="00FF5C81">
        <w:trPr>
          <w:jc w:val="center"/>
        </w:trPr>
        <w:tc>
          <w:tcPr>
            <w:tcW w:w="1486" w:type="dxa"/>
            <w:tcMar>
              <w:top w:w="90" w:type="dxa"/>
              <w:left w:w="100" w:type="dxa"/>
              <w:bottom w:w="90" w:type="dxa"/>
              <w:right w:w="100" w:type="dxa"/>
            </w:tcMar>
            <w:vAlign w:val="center"/>
          </w:tcPr>
          <w:p w14:paraId="0E27D270"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化肥养分总量</w:t>
            </w:r>
          </w:p>
        </w:tc>
        <w:tc>
          <w:tcPr>
            <w:tcW w:w="2977" w:type="dxa"/>
            <w:tcMar>
              <w:top w:w="90" w:type="dxa"/>
              <w:left w:w="100" w:type="dxa"/>
              <w:bottom w:w="90" w:type="dxa"/>
              <w:right w:w="100" w:type="dxa"/>
            </w:tcMar>
            <w:vAlign w:val="center"/>
          </w:tcPr>
          <w:p w14:paraId="28C0D740"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N 10 kg～14 kg、P</w:t>
            </w:r>
            <w:r w:rsidRPr="00FF5C81">
              <w:rPr>
                <w:rFonts w:ascii="Cambria Math" w:hAnsi="Cambria Math" w:cs="Cambria Math"/>
                <w:szCs w:val="21"/>
              </w:rPr>
              <w:t>₂</w:t>
            </w:r>
            <w:r w:rsidRPr="00FF5C81">
              <w:rPr>
                <w:rFonts w:hAnsi="宋体" w:cs="宋体"/>
                <w:szCs w:val="21"/>
              </w:rPr>
              <w:t>O</w:t>
            </w:r>
            <w:r w:rsidRPr="00FF5C81">
              <w:rPr>
                <w:rFonts w:ascii="Cambria Math" w:hAnsi="Cambria Math" w:cs="Cambria Math"/>
                <w:szCs w:val="21"/>
              </w:rPr>
              <w:t>₅</w:t>
            </w:r>
            <w:r w:rsidRPr="00FF5C81">
              <w:rPr>
                <w:rFonts w:hAnsi="宋体" w:cs="宋体"/>
                <w:szCs w:val="21"/>
              </w:rPr>
              <w:t xml:space="preserve"> 4 kg～6 kg、K</w:t>
            </w:r>
            <w:r w:rsidRPr="00FF5C81">
              <w:rPr>
                <w:rFonts w:ascii="Cambria Math" w:hAnsi="Cambria Math" w:cs="Cambria Math"/>
                <w:szCs w:val="21"/>
              </w:rPr>
              <w:t>₂</w:t>
            </w:r>
            <w:r w:rsidRPr="00FF5C81">
              <w:rPr>
                <w:rFonts w:hAnsi="宋体" w:cs="宋体"/>
                <w:szCs w:val="21"/>
              </w:rPr>
              <w:t>O 4 kg～6 kg/667 m²</w:t>
            </w:r>
          </w:p>
        </w:tc>
        <w:tc>
          <w:tcPr>
            <w:tcW w:w="3979" w:type="dxa"/>
            <w:tcMar>
              <w:top w:w="90" w:type="dxa"/>
              <w:left w:w="100" w:type="dxa"/>
              <w:bottom w:w="90" w:type="dxa"/>
              <w:right w:w="100" w:type="dxa"/>
            </w:tcMar>
            <w:vAlign w:val="center"/>
          </w:tcPr>
          <w:p w14:paraId="090E78F3"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依据土壤测试、目标产量、前茬和肥料利用率调整，不应超过当地限量要求。</w:t>
            </w:r>
          </w:p>
        </w:tc>
      </w:tr>
      <w:tr w:rsidR="00FF5C81" w:rsidRPr="00FF5C81" w14:paraId="3B46C3AA" w14:textId="77777777" w:rsidTr="00FF5C81">
        <w:trPr>
          <w:jc w:val="center"/>
        </w:trPr>
        <w:tc>
          <w:tcPr>
            <w:tcW w:w="1486" w:type="dxa"/>
            <w:shd w:val="clear" w:color="auto" w:fill="F7F7F7"/>
            <w:tcMar>
              <w:top w:w="90" w:type="dxa"/>
              <w:left w:w="100" w:type="dxa"/>
              <w:bottom w:w="90" w:type="dxa"/>
              <w:right w:w="100" w:type="dxa"/>
            </w:tcMar>
            <w:vAlign w:val="center"/>
          </w:tcPr>
          <w:p w14:paraId="188FD6DF"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有机肥替代</w:t>
            </w:r>
          </w:p>
        </w:tc>
        <w:tc>
          <w:tcPr>
            <w:tcW w:w="2977" w:type="dxa"/>
            <w:shd w:val="clear" w:color="auto" w:fill="F7F7F7"/>
            <w:tcMar>
              <w:top w:w="90" w:type="dxa"/>
              <w:left w:w="100" w:type="dxa"/>
              <w:bottom w:w="90" w:type="dxa"/>
              <w:right w:w="100" w:type="dxa"/>
            </w:tcMar>
            <w:vAlign w:val="center"/>
          </w:tcPr>
          <w:p w14:paraId="6132E43E"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有机氮替代化肥氮15%～30%，一般宜为20%</w:t>
            </w:r>
          </w:p>
        </w:tc>
        <w:tc>
          <w:tcPr>
            <w:tcW w:w="3979" w:type="dxa"/>
            <w:shd w:val="clear" w:color="auto" w:fill="F7F7F7"/>
            <w:tcMar>
              <w:top w:w="90" w:type="dxa"/>
              <w:left w:w="100" w:type="dxa"/>
              <w:bottom w:w="90" w:type="dxa"/>
              <w:right w:w="100" w:type="dxa"/>
            </w:tcMar>
            <w:vAlign w:val="center"/>
          </w:tcPr>
          <w:p w14:paraId="786AFBB2"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按有机肥检测值折算养分，等养分扣减化肥；低肥力田可连续施用并定期监测。</w:t>
            </w:r>
          </w:p>
        </w:tc>
      </w:tr>
      <w:tr w:rsidR="00FF5C81" w:rsidRPr="00FF5C81" w14:paraId="657464D4" w14:textId="77777777" w:rsidTr="00FF5C81">
        <w:trPr>
          <w:jc w:val="center"/>
        </w:trPr>
        <w:tc>
          <w:tcPr>
            <w:tcW w:w="1486" w:type="dxa"/>
            <w:tcMar>
              <w:top w:w="90" w:type="dxa"/>
              <w:left w:w="100" w:type="dxa"/>
              <w:bottom w:w="90" w:type="dxa"/>
              <w:right w:w="100" w:type="dxa"/>
            </w:tcMar>
            <w:vAlign w:val="center"/>
          </w:tcPr>
          <w:p w14:paraId="24CD2F18"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正常苗或壮苗田</w:t>
            </w:r>
          </w:p>
        </w:tc>
        <w:tc>
          <w:tcPr>
            <w:tcW w:w="2977" w:type="dxa"/>
            <w:tcMar>
              <w:top w:w="90" w:type="dxa"/>
              <w:left w:w="100" w:type="dxa"/>
              <w:bottom w:w="90" w:type="dxa"/>
              <w:right w:w="100" w:type="dxa"/>
            </w:tcMar>
            <w:vAlign w:val="center"/>
          </w:tcPr>
          <w:p w14:paraId="6E94797E"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基施氮60%～70%，拔节期30%～40%</w:t>
            </w:r>
          </w:p>
        </w:tc>
        <w:tc>
          <w:tcPr>
            <w:tcW w:w="3979" w:type="dxa"/>
            <w:tcMar>
              <w:top w:w="90" w:type="dxa"/>
              <w:left w:w="100" w:type="dxa"/>
              <w:bottom w:w="90" w:type="dxa"/>
              <w:right w:w="100" w:type="dxa"/>
            </w:tcMar>
            <w:vAlign w:val="center"/>
          </w:tcPr>
          <w:p w14:paraId="5105C571"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磷、钾肥宜全部基施；不施无效冬前肥。</w:t>
            </w:r>
          </w:p>
        </w:tc>
      </w:tr>
      <w:tr w:rsidR="00FF5C81" w:rsidRPr="00FF5C81" w14:paraId="1AB741B7" w14:textId="77777777" w:rsidTr="00FF5C81">
        <w:trPr>
          <w:jc w:val="center"/>
        </w:trPr>
        <w:tc>
          <w:tcPr>
            <w:tcW w:w="1486" w:type="dxa"/>
            <w:shd w:val="clear" w:color="auto" w:fill="F7F7F7"/>
            <w:tcMar>
              <w:top w:w="90" w:type="dxa"/>
              <w:left w:w="100" w:type="dxa"/>
              <w:bottom w:w="90" w:type="dxa"/>
              <w:right w:w="100" w:type="dxa"/>
            </w:tcMar>
            <w:vAlign w:val="center"/>
          </w:tcPr>
          <w:p w14:paraId="3D4CFE9E"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晚播或弱苗田</w:t>
            </w:r>
          </w:p>
        </w:tc>
        <w:tc>
          <w:tcPr>
            <w:tcW w:w="2977" w:type="dxa"/>
            <w:shd w:val="clear" w:color="auto" w:fill="F7F7F7"/>
            <w:tcMar>
              <w:top w:w="90" w:type="dxa"/>
              <w:left w:w="100" w:type="dxa"/>
              <w:bottom w:w="90" w:type="dxa"/>
              <w:right w:w="100" w:type="dxa"/>
            </w:tcMar>
            <w:vAlign w:val="center"/>
          </w:tcPr>
          <w:p w14:paraId="4DD0D8ED"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基施氮约60%，冬前或返青期10%～15%，拔节期25%～30%</w:t>
            </w:r>
          </w:p>
        </w:tc>
        <w:tc>
          <w:tcPr>
            <w:tcW w:w="3979" w:type="dxa"/>
            <w:shd w:val="clear" w:color="auto" w:fill="F7F7F7"/>
            <w:tcMar>
              <w:top w:w="90" w:type="dxa"/>
              <w:left w:w="100" w:type="dxa"/>
              <w:bottom w:w="90" w:type="dxa"/>
              <w:right w:w="100" w:type="dxa"/>
            </w:tcMar>
            <w:vAlign w:val="center"/>
          </w:tcPr>
          <w:p w14:paraId="601EDAA8"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追肥应结合降雨预报趁墒施入，避免暴雨前撒施。</w:t>
            </w:r>
          </w:p>
        </w:tc>
      </w:tr>
      <w:tr w:rsidR="00FF5C81" w:rsidRPr="00FF5C81" w14:paraId="294EBB4D" w14:textId="77777777" w:rsidTr="00FF5C81">
        <w:trPr>
          <w:jc w:val="center"/>
        </w:trPr>
        <w:tc>
          <w:tcPr>
            <w:tcW w:w="1486" w:type="dxa"/>
            <w:tcMar>
              <w:top w:w="90" w:type="dxa"/>
              <w:left w:w="100" w:type="dxa"/>
              <w:bottom w:w="90" w:type="dxa"/>
              <w:right w:w="100" w:type="dxa"/>
            </w:tcMar>
            <w:vAlign w:val="center"/>
          </w:tcPr>
          <w:p w14:paraId="0360C56D"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常年秸秆全量还田田块</w:t>
            </w:r>
          </w:p>
        </w:tc>
        <w:tc>
          <w:tcPr>
            <w:tcW w:w="2977" w:type="dxa"/>
            <w:tcMar>
              <w:top w:w="90" w:type="dxa"/>
              <w:left w:w="100" w:type="dxa"/>
              <w:bottom w:w="90" w:type="dxa"/>
              <w:right w:w="100" w:type="dxa"/>
            </w:tcMar>
            <w:vAlign w:val="center"/>
          </w:tcPr>
          <w:p w14:paraId="3282A610"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土壤速效钾适宜时，钾肥可减20%～30%</w:t>
            </w:r>
          </w:p>
        </w:tc>
        <w:tc>
          <w:tcPr>
            <w:tcW w:w="3979" w:type="dxa"/>
            <w:tcMar>
              <w:top w:w="90" w:type="dxa"/>
              <w:left w:w="100" w:type="dxa"/>
              <w:bottom w:w="90" w:type="dxa"/>
              <w:right w:w="100" w:type="dxa"/>
            </w:tcMar>
            <w:vAlign w:val="center"/>
          </w:tcPr>
          <w:p w14:paraId="592987E1" w14:textId="77777777" w:rsidR="00FF5C81" w:rsidRPr="00FF5C81" w:rsidRDefault="00FF5C81" w:rsidP="00FF5C81">
            <w:pPr>
              <w:pStyle w:val="a8"/>
              <w:ind w:firstLineChars="0" w:firstLine="0"/>
              <w:jc w:val="center"/>
              <w:rPr>
                <w:rFonts w:hAnsi="宋体" w:cs="宋体" w:hint="eastAsia"/>
                <w:szCs w:val="21"/>
              </w:rPr>
            </w:pPr>
            <w:r w:rsidRPr="00FF5C81">
              <w:rPr>
                <w:rFonts w:hAnsi="宋体" w:cs="宋体"/>
                <w:szCs w:val="21"/>
              </w:rPr>
              <w:t>减量须有测土结果支撑；秸秆量大时通过腐熟剂或基肥氮前移促进腐解，不额外增加总氮。</w:t>
            </w:r>
          </w:p>
        </w:tc>
      </w:tr>
    </w:tbl>
    <w:p w14:paraId="22E778EB" w14:textId="77777777" w:rsidR="006074F0" w:rsidRPr="00FF5C81" w:rsidRDefault="006074F0" w:rsidP="00FF5C81">
      <w:pPr>
        <w:pStyle w:val="a8"/>
        <w:ind w:firstLineChars="0" w:firstLine="0"/>
        <w:rPr>
          <w:rFonts w:hAnsi="宋体" w:cs="宋体" w:hint="eastAsia"/>
          <w:szCs w:val="21"/>
        </w:rPr>
      </w:pPr>
    </w:p>
    <w:p w14:paraId="46FAB140"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6.4  种肥同播</w:t>
      </w:r>
    </w:p>
    <w:p w14:paraId="1A6EC1FD" w14:textId="77777777" w:rsidR="00FF5C81" w:rsidRPr="00FF5C81" w:rsidRDefault="00FF5C81" w:rsidP="00FF5C81">
      <w:pPr>
        <w:pStyle w:val="a8"/>
        <w:spacing w:beforeLines="100" w:before="312"/>
        <w:rPr>
          <w:rFonts w:hAnsi="宋体" w:cs="宋体" w:hint="eastAsia"/>
          <w:szCs w:val="21"/>
        </w:rPr>
      </w:pPr>
      <w:r w:rsidRPr="00FF5C81">
        <w:rPr>
          <w:rFonts w:hAnsi="宋体" w:cs="宋体" w:hint="eastAsia"/>
          <w:szCs w:val="21"/>
        </w:rPr>
        <w:t>宜选用具有秸秆防堵、分层施肥、精量播种、覆土和镇压功能的复式播种机。作业前应进行静态和动态标定，核对各行排种量、排肥量和作业深度。</w:t>
      </w:r>
    </w:p>
    <w:p w14:paraId="2614C34E" w14:textId="77777777" w:rsidR="00FF5C81" w:rsidRPr="00FF5C81" w:rsidRDefault="00FF5C81" w:rsidP="00FF5C81">
      <w:pPr>
        <w:pStyle w:val="a8"/>
        <w:rPr>
          <w:rFonts w:hAnsi="宋体" w:cs="宋体" w:hint="eastAsia"/>
          <w:szCs w:val="21"/>
        </w:rPr>
      </w:pPr>
      <w:r w:rsidRPr="00FF5C81">
        <w:rPr>
          <w:rFonts w:hAnsi="宋体" w:cs="宋体" w:hint="eastAsia"/>
          <w:szCs w:val="21"/>
        </w:rPr>
        <w:t>种肥应异位同播，严禁种肥接触。肥料宜施于种子侧下方3 cm～5 cm，或施于种子正下方并保持3 cm～5 cm土壤隔离层；肥带应连续均匀。</w:t>
      </w:r>
    </w:p>
    <w:p w14:paraId="05954A40" w14:textId="03FCAA1F" w:rsidR="00FF5C81" w:rsidRPr="00FF5C81" w:rsidRDefault="00FF5C81" w:rsidP="00FF5C81">
      <w:pPr>
        <w:pStyle w:val="a8"/>
        <w:rPr>
          <w:rFonts w:hAnsi="宋体" w:cs="宋体" w:hint="eastAsia"/>
          <w:szCs w:val="21"/>
        </w:rPr>
      </w:pPr>
      <w:r w:rsidRPr="00FF5C81">
        <w:rPr>
          <w:rFonts w:hAnsi="宋体" w:cs="宋体" w:hint="eastAsia"/>
          <w:szCs w:val="21"/>
        </w:rPr>
        <w:t>采用</w:t>
      </w:r>
      <w:r>
        <w:rPr>
          <w:rFonts w:hAnsi="宋体" w:cs="宋体" w:hint="eastAsia"/>
          <w:szCs w:val="21"/>
        </w:rPr>
        <w:t>26-15-10</w:t>
      </w:r>
      <w:r w:rsidRPr="00FF5C81">
        <w:rPr>
          <w:rFonts w:hAnsi="宋体" w:cs="宋体" w:hint="eastAsia"/>
          <w:szCs w:val="21"/>
        </w:rPr>
        <w:t>或相近配方的缓释肥作种肥时，施用量可为40 kg～50 kg/667 m²，但应按实际养分含量计入表1的全年总量，并扣除有机肥替代养分。</w:t>
      </w:r>
    </w:p>
    <w:p w14:paraId="4B4E3498"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6.5  播种质量与镇压</w:t>
      </w:r>
    </w:p>
    <w:p w14:paraId="12447FAB" w14:textId="77777777" w:rsidR="00FF5C81" w:rsidRPr="00FF5C81" w:rsidRDefault="00FF5C81" w:rsidP="00FF5C81">
      <w:pPr>
        <w:pStyle w:val="a8"/>
        <w:spacing w:beforeLines="100" w:before="312"/>
        <w:rPr>
          <w:rFonts w:hAnsi="宋体" w:cs="宋体" w:hint="eastAsia"/>
          <w:szCs w:val="21"/>
        </w:rPr>
      </w:pPr>
      <w:r w:rsidRPr="00FF5C81">
        <w:rPr>
          <w:rFonts w:hAnsi="宋体" w:cs="宋体" w:hint="eastAsia"/>
          <w:szCs w:val="21"/>
        </w:rPr>
        <w:t>宜采用机械条播，稻茬麦行距宜为20 cm～25 cm，旱茬麦行距宜为15 cm～20 cm。播深宜为3 cm～5 cm；墒情适宜时宜控制在3 cm左右，表层偏干时可适当加深，但不应深播。</w:t>
      </w:r>
    </w:p>
    <w:p w14:paraId="6FEDBF3A" w14:textId="68E26B6E" w:rsidR="006074F0" w:rsidRDefault="00FF5C81" w:rsidP="00260AD0">
      <w:pPr>
        <w:pStyle w:val="a8"/>
        <w:rPr>
          <w:rFonts w:hAnsi="宋体" w:cs="宋体" w:hint="eastAsia"/>
          <w:szCs w:val="21"/>
        </w:rPr>
      </w:pPr>
      <w:r w:rsidRPr="00FF5C81">
        <w:rPr>
          <w:rFonts w:hAnsi="宋体" w:cs="宋体" w:hint="eastAsia"/>
          <w:szCs w:val="21"/>
        </w:rPr>
        <w:t>播种应下种均匀、深浅一致、不漏播、不重播，覆土严密。土壤适墒时应随播镇压；黏湿田或表土过湿时不应镇压。播种机械作业质量应符合NY/T 739的规定。</w:t>
      </w:r>
    </w:p>
    <w:p w14:paraId="7EFA7E84" w14:textId="77777777" w:rsidR="00FF5C81" w:rsidRPr="00FF5C81" w:rsidRDefault="00FF5C81" w:rsidP="00FF5C81">
      <w:pPr>
        <w:pStyle w:val="a"/>
        <w:numPr>
          <w:ilvl w:val="0"/>
          <w:numId w:val="0"/>
        </w:numPr>
      </w:pPr>
      <w:r w:rsidRPr="00FF5C81">
        <w:rPr>
          <w:rFonts w:hint="eastAsia"/>
        </w:rPr>
        <w:t>7　田间管理</w:t>
      </w:r>
    </w:p>
    <w:p w14:paraId="6AD48E3A" w14:textId="77777777"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7.1  出苗与冬前管理</w:t>
      </w:r>
    </w:p>
    <w:p w14:paraId="77614612" w14:textId="77777777" w:rsidR="00FF5C81" w:rsidRPr="00FF5C81" w:rsidRDefault="00FF5C81" w:rsidP="00FF5C81">
      <w:pPr>
        <w:pStyle w:val="a8"/>
        <w:rPr>
          <w:rFonts w:hAnsi="宋体" w:cs="宋体" w:hint="eastAsia"/>
          <w:szCs w:val="21"/>
        </w:rPr>
      </w:pPr>
      <w:r w:rsidRPr="00FF5C81">
        <w:rPr>
          <w:rFonts w:hAnsi="宋体" w:cs="宋体" w:hint="eastAsia"/>
          <w:szCs w:val="21"/>
        </w:rPr>
        <w:t>出苗后应及时查苗。缺苗断垄处宜用同品种催芽种子补种；苗丛过密处应疏密补稀。旺苗田可在土壤适墒时镇压，弱苗田应按表1保留的氮肥比例趁墒追施。</w:t>
      </w:r>
    </w:p>
    <w:p w14:paraId="69CA1C3E" w14:textId="3A538EE8"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 xml:space="preserve">7.2  </w:t>
      </w:r>
      <w:r w:rsidR="00260AD0">
        <w:rPr>
          <w:rFonts w:ascii="黑体" w:eastAsia="黑体" w:hAnsi="黑体" w:cs="黑体" w:hint="eastAsia"/>
          <w:szCs w:val="21"/>
        </w:rPr>
        <w:t>拔节至孕穗期管理</w:t>
      </w:r>
    </w:p>
    <w:p w14:paraId="1C64C889" w14:textId="77777777" w:rsidR="00260AD0" w:rsidRDefault="00FF5C81" w:rsidP="00260AD0">
      <w:pPr>
        <w:pStyle w:val="a8"/>
        <w:spacing w:beforeLines="100" w:before="312"/>
        <w:rPr>
          <w:rFonts w:hAnsi="宋体" w:cs="宋体" w:hint="eastAsia"/>
          <w:szCs w:val="21"/>
        </w:rPr>
      </w:pPr>
      <w:r w:rsidRPr="00FF5C81">
        <w:rPr>
          <w:rFonts w:hAnsi="宋体" w:cs="宋体" w:hint="eastAsia"/>
          <w:szCs w:val="21"/>
        </w:rPr>
        <w:lastRenderedPageBreak/>
        <w:t>拔节至</w:t>
      </w:r>
      <w:r w:rsidR="00260AD0">
        <w:rPr>
          <w:rFonts w:hAnsi="宋体" w:cs="宋体" w:hint="eastAsia"/>
          <w:szCs w:val="21"/>
        </w:rPr>
        <w:t>孕穗</w:t>
      </w:r>
      <w:r w:rsidRPr="00FF5C81">
        <w:rPr>
          <w:rFonts w:hAnsi="宋体" w:cs="宋体" w:hint="eastAsia"/>
          <w:szCs w:val="21"/>
        </w:rPr>
        <w:t>期应保持沟系通畅。连续降雨或短时强降雨后，田面明水应尽快排除，避免根际长期缺氧和肥料随径流流失。</w:t>
      </w:r>
    </w:p>
    <w:p w14:paraId="0DDF51F5" w14:textId="37463B7C" w:rsidR="00FF5C81" w:rsidRPr="00FF5C81" w:rsidRDefault="00FF5C81" w:rsidP="00260AD0">
      <w:pPr>
        <w:pStyle w:val="a8"/>
        <w:rPr>
          <w:rFonts w:hAnsi="宋体" w:cs="宋体" w:hint="eastAsia"/>
          <w:szCs w:val="21"/>
        </w:rPr>
      </w:pPr>
      <w:r w:rsidRPr="00FF5C81">
        <w:rPr>
          <w:rFonts w:hAnsi="宋体" w:cs="宋体" w:hint="eastAsia"/>
          <w:szCs w:val="21"/>
        </w:rPr>
        <w:t>拔节肥应依据群体大小、叶色和降雨预报施用。正常苗宜在基部第一节间定长前后施入，旺苗适当推迟并减量，弱苗适当提前；不宜在暴雨前、田间积水时或叶面带露水时撒施。</w:t>
      </w:r>
    </w:p>
    <w:p w14:paraId="4B57D5C2" w14:textId="76DA1FF5"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7.</w:t>
      </w:r>
      <w:r w:rsidR="0023285B">
        <w:rPr>
          <w:rFonts w:ascii="黑体" w:eastAsia="黑体" w:hAnsi="黑体" w:cs="黑体" w:hint="eastAsia"/>
          <w:szCs w:val="21"/>
        </w:rPr>
        <w:t>3</w:t>
      </w:r>
      <w:r w:rsidRPr="00FF5C81">
        <w:rPr>
          <w:rFonts w:ascii="黑体" w:eastAsia="黑体" w:hAnsi="黑体" w:cs="黑体" w:hint="eastAsia"/>
          <w:szCs w:val="21"/>
        </w:rPr>
        <w:t xml:space="preserve">  </w:t>
      </w:r>
      <w:r w:rsidR="00260AD0" w:rsidRPr="00260AD0">
        <w:rPr>
          <w:rFonts w:ascii="黑体" w:eastAsia="黑体" w:hAnsi="黑体" w:cs="黑体"/>
          <w:szCs w:val="21"/>
        </w:rPr>
        <w:t>抽穗至灌浆期</w:t>
      </w:r>
      <w:r w:rsidR="00260AD0">
        <w:rPr>
          <w:rFonts w:ascii="黑体" w:eastAsia="黑体" w:hAnsi="黑体" w:cs="黑体" w:hint="eastAsia"/>
          <w:szCs w:val="21"/>
        </w:rPr>
        <w:t>管理</w:t>
      </w:r>
    </w:p>
    <w:p w14:paraId="03B03E55" w14:textId="77777777" w:rsidR="00FF5C81" w:rsidRPr="00FF5C81" w:rsidRDefault="00FF5C81" w:rsidP="00260AD0">
      <w:pPr>
        <w:pStyle w:val="a8"/>
        <w:spacing w:beforeLines="100" w:before="312"/>
        <w:rPr>
          <w:rFonts w:hAnsi="宋体" w:cs="宋体" w:hint="eastAsia"/>
          <w:szCs w:val="21"/>
        </w:rPr>
      </w:pPr>
      <w:r w:rsidRPr="00FF5C81">
        <w:rPr>
          <w:rFonts w:hAnsi="宋体" w:cs="宋体" w:hint="eastAsia"/>
          <w:szCs w:val="21"/>
        </w:rPr>
        <w:t>抽穗至灌浆期宜结合病虫害防控叶面喷施0.2%～0.3%磷酸二氢钾溶液1次～2次。表现缺氮或早衰的田块，可在当地技术人员指导下配施1%～2%尿素溶液。</w:t>
      </w:r>
    </w:p>
    <w:p w14:paraId="1B5407F7" w14:textId="77777777" w:rsidR="00FF5C81" w:rsidRPr="00FF5C81" w:rsidRDefault="00FF5C81" w:rsidP="00FF5C81">
      <w:pPr>
        <w:pStyle w:val="a8"/>
        <w:rPr>
          <w:rFonts w:hAnsi="宋体" w:cs="宋体" w:hint="eastAsia"/>
          <w:szCs w:val="21"/>
        </w:rPr>
      </w:pPr>
      <w:r w:rsidRPr="00FF5C81">
        <w:rPr>
          <w:rFonts w:hAnsi="宋体" w:cs="宋体" w:hint="eastAsia"/>
          <w:szCs w:val="21"/>
        </w:rPr>
        <w:t>叶面肥应选用符合登记或产品标准的水溶性产品，现配现用。应在无雨、风力较小的上午露水干后或傍晚均匀喷施；与农药混用前应确认标签允许并进行小范围相容性试验。</w:t>
      </w:r>
    </w:p>
    <w:p w14:paraId="01C25458" w14:textId="544EE4CC" w:rsidR="00FF5C81" w:rsidRPr="00FF5C81" w:rsidRDefault="00FF5C81" w:rsidP="00FF5C81">
      <w:pPr>
        <w:pStyle w:val="a8"/>
        <w:spacing w:beforeLines="100" w:before="312"/>
        <w:ind w:firstLineChars="0" w:firstLine="0"/>
        <w:rPr>
          <w:rFonts w:ascii="黑体" w:eastAsia="黑体" w:hAnsi="黑体" w:cs="黑体" w:hint="eastAsia"/>
          <w:szCs w:val="21"/>
        </w:rPr>
      </w:pPr>
      <w:r w:rsidRPr="00FF5C81">
        <w:rPr>
          <w:rFonts w:ascii="黑体" w:eastAsia="黑体" w:hAnsi="黑体" w:cs="黑体" w:hint="eastAsia"/>
          <w:szCs w:val="21"/>
        </w:rPr>
        <w:t>7.</w:t>
      </w:r>
      <w:r w:rsidR="0023285B">
        <w:rPr>
          <w:rFonts w:ascii="黑体" w:eastAsia="黑体" w:hAnsi="黑体" w:cs="黑体" w:hint="eastAsia"/>
          <w:szCs w:val="21"/>
        </w:rPr>
        <w:t>4</w:t>
      </w:r>
      <w:r w:rsidRPr="00FF5C81">
        <w:rPr>
          <w:rFonts w:ascii="黑体" w:eastAsia="黑体" w:hAnsi="黑体" w:cs="黑体" w:hint="eastAsia"/>
          <w:szCs w:val="21"/>
        </w:rPr>
        <w:t xml:space="preserve">  病虫草害防控</w:t>
      </w:r>
    </w:p>
    <w:p w14:paraId="172A5DA2" w14:textId="77777777" w:rsidR="00FF5C81" w:rsidRPr="00FF5C81" w:rsidRDefault="00FF5C81" w:rsidP="00260AD0">
      <w:pPr>
        <w:pStyle w:val="a8"/>
        <w:spacing w:beforeLines="100" w:before="312"/>
        <w:rPr>
          <w:rFonts w:hAnsi="宋体" w:cs="宋体" w:hint="eastAsia"/>
          <w:szCs w:val="21"/>
        </w:rPr>
      </w:pPr>
      <w:r w:rsidRPr="00FF5C81">
        <w:rPr>
          <w:rFonts w:hAnsi="宋体" w:cs="宋体" w:hint="eastAsia"/>
          <w:szCs w:val="21"/>
        </w:rPr>
        <w:t>应依据监测预报实行农业防治、生态调控、理化诱控和科学用药。冬前或返青期防除杂草，拔节期重点防治纹枯病和蚜虫，抽穗扬花期重点预防赤霉病，灌浆期结合实际开展一喷三防。</w:t>
      </w:r>
    </w:p>
    <w:p w14:paraId="4F56C308" w14:textId="77777777" w:rsidR="00FF5C81" w:rsidRPr="00FF5C81" w:rsidRDefault="00FF5C81" w:rsidP="00FF5C81">
      <w:pPr>
        <w:pStyle w:val="a8"/>
        <w:rPr>
          <w:rFonts w:hAnsi="宋体" w:cs="宋体" w:hint="eastAsia"/>
          <w:szCs w:val="21"/>
        </w:rPr>
      </w:pPr>
      <w:r w:rsidRPr="00FF5C81">
        <w:rPr>
          <w:rFonts w:hAnsi="宋体" w:cs="宋体" w:hint="eastAsia"/>
          <w:szCs w:val="21"/>
        </w:rPr>
        <w:t>农药使用应符合NY/T 1276的规定，采用植保无人飞机作业时应符合NY/T 4260的规定。不得使用国家禁用农药，并应严格执行安全间隔期。</w:t>
      </w:r>
    </w:p>
    <w:p w14:paraId="59887F75" w14:textId="53E7E76D" w:rsidR="00260AD0" w:rsidRPr="00260AD0" w:rsidRDefault="00260AD0" w:rsidP="00260AD0">
      <w:pPr>
        <w:pStyle w:val="a"/>
        <w:numPr>
          <w:ilvl w:val="0"/>
          <w:numId w:val="0"/>
        </w:numPr>
      </w:pPr>
      <w:r w:rsidRPr="00260AD0">
        <w:rPr>
          <w:rFonts w:hint="eastAsia"/>
        </w:rPr>
        <w:t>8　适时收获</w:t>
      </w:r>
    </w:p>
    <w:p w14:paraId="6086DB08" w14:textId="648EA350" w:rsidR="006074F0" w:rsidRDefault="00260AD0" w:rsidP="00260AD0">
      <w:pPr>
        <w:pStyle w:val="a8"/>
        <w:rPr>
          <w:rFonts w:hAnsi="宋体" w:cs="宋体" w:hint="eastAsia"/>
          <w:szCs w:val="21"/>
        </w:rPr>
      </w:pPr>
      <w:r w:rsidRPr="00260AD0">
        <w:rPr>
          <w:rFonts w:hAnsi="宋体" w:cs="宋体" w:hint="eastAsia"/>
          <w:szCs w:val="21"/>
        </w:rPr>
        <w:t>宜在蜡熟末期至完熟初期机械收获。收获前遇连续降雨预报时，应在籽粒成熟和机械可进田的前提下及时抢收，降低穗发芽和霉变风险。</w:t>
      </w:r>
    </w:p>
    <w:p w14:paraId="50CC5D80" w14:textId="77777777" w:rsidR="00260AD0" w:rsidRPr="00260AD0" w:rsidRDefault="00260AD0" w:rsidP="00260AD0">
      <w:pPr>
        <w:pStyle w:val="a"/>
        <w:numPr>
          <w:ilvl w:val="0"/>
          <w:numId w:val="0"/>
        </w:numPr>
      </w:pPr>
      <w:r w:rsidRPr="00260AD0">
        <w:rPr>
          <w:rFonts w:hint="eastAsia"/>
        </w:rPr>
        <w:t>9　记录与效果评价</w:t>
      </w:r>
    </w:p>
    <w:p w14:paraId="4B2BD529" w14:textId="77777777" w:rsidR="00260AD0" w:rsidRPr="00260AD0" w:rsidRDefault="00260AD0" w:rsidP="00260AD0">
      <w:pPr>
        <w:pStyle w:val="a8"/>
        <w:spacing w:beforeLines="100" w:before="312"/>
        <w:ind w:firstLineChars="0" w:firstLine="0"/>
        <w:rPr>
          <w:rFonts w:hAnsi="宋体" w:cs="宋体" w:hint="eastAsia"/>
          <w:szCs w:val="21"/>
        </w:rPr>
      </w:pPr>
      <w:r w:rsidRPr="00260AD0">
        <w:rPr>
          <w:rFonts w:ascii="黑体" w:eastAsia="黑体" w:hAnsi="黑体" w:cs="黑体" w:hint="eastAsia"/>
          <w:szCs w:val="21"/>
        </w:rPr>
        <w:t>9.1  生产记录</w:t>
      </w:r>
    </w:p>
    <w:p w14:paraId="6B9D61AE" w14:textId="77777777" w:rsidR="00260AD0" w:rsidRPr="00260AD0" w:rsidRDefault="00260AD0" w:rsidP="00260AD0">
      <w:pPr>
        <w:pStyle w:val="a8"/>
        <w:spacing w:beforeLines="100" w:before="312"/>
        <w:rPr>
          <w:rFonts w:hAnsi="宋体" w:cs="宋体" w:hint="eastAsia"/>
          <w:szCs w:val="21"/>
        </w:rPr>
      </w:pPr>
      <w:r w:rsidRPr="00260AD0">
        <w:rPr>
          <w:rFonts w:hAnsi="宋体" w:cs="宋体" w:hint="eastAsia"/>
          <w:szCs w:val="21"/>
        </w:rPr>
        <w:t>应记录地块、前茬、播期、品种、播量、秸秆还田、耕作深度、三沟规格与清理、肥料品种及养分含量、有机替代比例、各次施肥、叶面喷施、病虫草防控、降雨渍害、收获和产量等信息。记录宜保存3年以上。</w:t>
      </w:r>
    </w:p>
    <w:p w14:paraId="0FB93D9C" w14:textId="77777777" w:rsidR="00260AD0" w:rsidRPr="00260AD0" w:rsidRDefault="00260AD0" w:rsidP="00260AD0">
      <w:pPr>
        <w:pStyle w:val="a8"/>
        <w:spacing w:beforeLines="100" w:before="312"/>
        <w:ind w:firstLineChars="0" w:firstLine="0"/>
        <w:rPr>
          <w:rFonts w:ascii="黑体" w:eastAsia="黑体" w:hAnsi="黑体" w:cs="黑体" w:hint="eastAsia"/>
          <w:szCs w:val="21"/>
        </w:rPr>
      </w:pPr>
      <w:r w:rsidRPr="00260AD0">
        <w:rPr>
          <w:rFonts w:ascii="黑体" w:eastAsia="黑体" w:hAnsi="黑体" w:cs="黑体" w:hint="eastAsia"/>
          <w:szCs w:val="21"/>
        </w:rPr>
        <w:t>9.2  培肥与效率评价</w:t>
      </w:r>
    </w:p>
    <w:p w14:paraId="11314640" w14:textId="507D44A4" w:rsidR="00260AD0" w:rsidRDefault="00260AD0" w:rsidP="00260AD0">
      <w:pPr>
        <w:pStyle w:val="a8"/>
        <w:spacing w:beforeLines="100" w:before="312"/>
        <w:rPr>
          <w:rFonts w:hAnsi="宋体" w:cs="宋体" w:hint="eastAsia"/>
          <w:szCs w:val="21"/>
        </w:rPr>
      </w:pPr>
      <w:r w:rsidRPr="00260AD0">
        <w:rPr>
          <w:rFonts w:hAnsi="宋体" w:cs="宋体" w:hint="eastAsia"/>
          <w:szCs w:val="21"/>
        </w:rPr>
        <w:t>宜以连续3年为一个评价周期，比较耕层厚度、土壤有机质、pH、有效磷、速效钾、产量稳定性和单位养分产量的变化。土壤有机质和耕层厚度应保持稳定或提高，肥料投入不增加条件下产量和养分效率宜稳步提升。</w:t>
      </w:r>
    </w:p>
    <w:p w14:paraId="3F6356CE" w14:textId="77777777" w:rsidR="00A91A4A" w:rsidRDefault="00A91A4A" w:rsidP="00260AD0">
      <w:pPr>
        <w:pStyle w:val="a8"/>
        <w:adjustRightInd w:val="0"/>
        <w:snapToGrid w:val="0"/>
        <w:ind w:firstLineChars="0" w:firstLine="0"/>
        <w:rPr>
          <w:rFonts w:ascii="黑体" w:eastAsia="黑体"/>
        </w:rPr>
      </w:pPr>
    </w:p>
    <w:p w14:paraId="3B0EF0F4" w14:textId="77777777" w:rsidR="00A91A4A" w:rsidRDefault="00670D99">
      <w:pPr>
        <w:pStyle w:val="aa"/>
        <w:framePr w:wrap="around"/>
      </w:pPr>
      <w:r>
        <w:t>_________________________________</w:t>
      </w:r>
    </w:p>
    <w:p w14:paraId="473E98FB" w14:textId="77777777" w:rsidR="00A91A4A" w:rsidRDefault="00A91A4A">
      <w:pPr>
        <w:widowControl/>
        <w:rPr>
          <w:rFonts w:ascii="Times New Roman" w:eastAsia="黑体" w:hAnsi="Times New Roman"/>
          <w:color w:val="000000"/>
          <w:kern w:val="0"/>
          <w:sz w:val="32"/>
          <w:szCs w:val="32"/>
        </w:rPr>
      </w:pPr>
    </w:p>
    <w:sectPr w:rsidR="00A91A4A">
      <w:headerReference w:type="default" r:id="rId11"/>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2BBA5" w14:textId="77777777" w:rsidR="000712C2" w:rsidRDefault="000712C2">
      <w:r>
        <w:separator/>
      </w:r>
    </w:p>
  </w:endnote>
  <w:endnote w:type="continuationSeparator" w:id="0">
    <w:p w14:paraId="5C2AD6CE" w14:textId="77777777" w:rsidR="000712C2" w:rsidRDefault="00071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EAEF2" w14:textId="77777777" w:rsidR="00A91A4A" w:rsidRDefault="00670D99">
    <w:pPr>
      <w:pStyle w:val="a4"/>
      <w:jc w:val="center"/>
    </w:pPr>
    <w:r>
      <w:rPr>
        <w:noProof/>
      </w:rPr>
      <mc:AlternateContent>
        <mc:Choice Requires="wps">
          <w:drawing>
            <wp:anchor distT="0" distB="0" distL="114300" distR="114300" simplePos="0" relativeHeight="251659264" behindDoc="0" locked="0" layoutInCell="1" allowOverlap="1" wp14:anchorId="6E48742A" wp14:editId="6C9D6199">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E87EA07" w14:textId="77777777" w:rsidR="00A91A4A" w:rsidRDefault="00670D99">
                          <w:pPr>
                            <w:pStyle w:val="a4"/>
                          </w:pPr>
                          <w:r>
                            <w:fldChar w:fldCharType="begin"/>
                          </w:r>
                          <w:r>
                            <w:instrText xml:space="preserve"> PAGE  \* MERGEFORMAT </w:instrText>
                          </w:r>
                          <w:r>
                            <w:fldChar w:fldCharType="separate"/>
                          </w:r>
                          <w:r w:rsidR="00E61499">
                            <w:rPr>
                              <w:noProof/>
                            </w:rPr>
                            <w:t>- 2 -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E48742A"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7E87EA07" w14:textId="77777777" w:rsidR="00A91A4A" w:rsidRDefault="00670D99">
                    <w:pPr>
                      <w:pStyle w:val="a4"/>
                    </w:pPr>
                    <w:r>
                      <w:fldChar w:fldCharType="begin"/>
                    </w:r>
                    <w:r>
                      <w:instrText xml:space="preserve"> PAGE  \* MERGEFORMAT </w:instrText>
                    </w:r>
                    <w:r>
                      <w:fldChar w:fldCharType="separate"/>
                    </w:r>
                    <w:r w:rsidR="00E61499">
                      <w:rPr>
                        <w:noProof/>
                      </w:rPr>
                      <w:t>- 2 -</w:t>
                    </w:r>
                    <w:r>
                      <w:fldChar w:fldCharType="end"/>
                    </w:r>
                  </w:p>
                </w:txbxContent>
              </v:textbox>
              <w10:wrap anchorx="margin"/>
            </v:shape>
          </w:pict>
        </mc:Fallback>
      </mc:AlternateContent>
    </w:r>
  </w:p>
  <w:p w14:paraId="330A5B66" w14:textId="77777777" w:rsidR="00A91A4A" w:rsidRDefault="00A91A4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FD42" w14:textId="77777777" w:rsidR="00A91A4A" w:rsidRDefault="00670D99">
    <w:pPr>
      <w:pStyle w:val="a4"/>
    </w:pPr>
    <w:r>
      <w:rPr>
        <w:noProof/>
      </w:rPr>
      <mc:AlternateContent>
        <mc:Choice Requires="wps">
          <w:drawing>
            <wp:anchor distT="0" distB="0" distL="114300" distR="114300" simplePos="0" relativeHeight="251660288" behindDoc="0" locked="0" layoutInCell="1" allowOverlap="1" wp14:anchorId="6CB60B76" wp14:editId="1EE2A8D4">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C817BC1" w14:textId="77777777" w:rsidR="00A91A4A" w:rsidRDefault="00670D99">
                          <w:pPr>
                            <w:pStyle w:val="a4"/>
                          </w:pPr>
                          <w:r>
                            <w:fldChar w:fldCharType="begin"/>
                          </w:r>
                          <w:r>
                            <w:instrText xml:space="preserve"> PAGE  \* MERGEFORMAT </w:instrText>
                          </w:r>
                          <w:r>
                            <w:fldChar w:fldCharType="separate"/>
                          </w:r>
                          <w:r w:rsidR="00E61499">
                            <w:rPr>
                              <w:noProof/>
                            </w:rP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CB60B76" id="_x0000_t202" coordsize="21600,21600" o:spt="202" path="m,l,21600r21600,l21600,xe">
              <v:stroke joinstyle="miter"/>
              <v:path gradientshapeok="t" o:connecttype="rect"/>
            </v:shapetype>
            <v:shape id="文本框 4"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" filled="f" fillcolor="white [3201]" stroked="f" strokeweight=".5pt">
              <v:textbox style="mso-fit-shape-to-text:t" inset="0,0,0,0">
                <w:txbxContent>
                  <w:p w14:paraId="4C817BC1" w14:textId="77777777" w:rsidR="00A91A4A" w:rsidRDefault="00670D99">
                    <w:pPr>
                      <w:pStyle w:val="a4"/>
                    </w:pPr>
                    <w:r>
                      <w:fldChar w:fldCharType="begin"/>
                    </w:r>
                    <w:r>
                      <w:instrText xml:space="preserve"> PAGE  \* MERGEFORMAT </w:instrText>
                    </w:r>
                    <w:r>
                      <w:fldChar w:fldCharType="separate"/>
                    </w:r>
                    <w:r w:rsidR="00E61499">
                      <w:rPr>
                        <w:noProof/>
                      </w:rPr>
                      <w:t>- 1 -</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25E8" w14:textId="77777777" w:rsidR="00A91A4A" w:rsidRDefault="00670D99">
    <w:pPr>
      <w:pStyle w:val="a4"/>
      <w:jc w:val="center"/>
    </w:pPr>
    <w:r>
      <w:rPr>
        <w:noProof/>
      </w:rPr>
      <mc:AlternateContent>
        <mc:Choice Requires="wps">
          <w:drawing>
            <wp:anchor distT="0" distB="0" distL="114300" distR="114300" simplePos="0" relativeHeight="251661312" behindDoc="0" locked="0" layoutInCell="1" allowOverlap="1" wp14:anchorId="54D1C770" wp14:editId="0EDD026F">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973B911" w14:textId="77777777" w:rsidR="00A91A4A" w:rsidRDefault="00670D99">
                          <w:pPr>
                            <w:pStyle w:val="a4"/>
                          </w:pPr>
                          <w:r>
                            <w:fldChar w:fldCharType="begin"/>
                          </w:r>
                          <w:r>
                            <w:instrText xml:space="preserve"> PAGE  \* MERGEFORMAT </w:instrText>
                          </w:r>
                          <w:r>
                            <w:fldChar w:fldCharType="separate"/>
                          </w:r>
                          <w:r>
                            <w:t>- 5 -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4D1C770" id="_x0000_t202" coordsize="21600,21600" o:spt="202" path="m,l,21600r21600,l21600,xe">
              <v:stroke joinstyle="miter"/>
              <v:path gradientshapeok="t" o:connecttype="rect"/>
            </v:shapetype>
            <v:shape id="文本框 5" o:spid="_x0000_s1028"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OVjmC5BAgAA6wQAAA4AAAAAAAAA&#10;AAAAAAAALgIAAGRycy9lMm9Eb2MueG1sUEsBAi0AFAAGAAgAAAAhAOcqirzWAAAABQEAAA8AAAAA&#10;AAAAAAAAAAAAmwQAAGRycy9kb3ducmV2LnhtbFBLBQYAAAAABAAEAPMAAACeBQAAAAA=&#10;" filled="f" fillcolor="white [3201]" stroked="f" strokeweight=".5pt">
              <v:textbox style="mso-fit-shape-to-text:t" inset="0,0,0,0">
                <w:txbxContent>
                  <w:p w14:paraId="1973B911" w14:textId="77777777" w:rsidR="00A91A4A" w:rsidRDefault="00670D99">
                    <w:pPr>
                      <w:pStyle w:val="a4"/>
                    </w:pPr>
                    <w:r>
                      <w:fldChar w:fldCharType="begin"/>
                    </w:r>
                    <w:r>
                      <w:instrText xml:space="preserve"> PAGE  \* MERGEFORMAT </w:instrText>
                    </w:r>
                    <w:r>
                      <w:fldChar w:fldCharType="separate"/>
                    </w:r>
                    <w:r>
                      <w:t>- 5 -</w:t>
                    </w:r>
                    <w:r>
                      <w:fldChar w:fldCharType="end"/>
                    </w:r>
                  </w:p>
                </w:txbxContent>
              </v:textbox>
              <w10:wrap anchorx="margin"/>
            </v:shape>
          </w:pict>
        </mc:Fallback>
      </mc:AlternateContent>
    </w:r>
  </w:p>
  <w:p w14:paraId="7A59E322" w14:textId="77777777" w:rsidR="00A91A4A" w:rsidRDefault="00A91A4A">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B472" w14:textId="77777777" w:rsidR="00A91A4A" w:rsidRDefault="00670D99">
    <w:pPr>
      <w:pStyle w:val="ac"/>
    </w:pPr>
    <w:r>
      <w:rPr>
        <w:noProof/>
      </w:rPr>
      <mc:AlternateContent>
        <mc:Choice Requires="wps">
          <w:drawing>
            <wp:anchor distT="0" distB="0" distL="114300" distR="114300" simplePos="0" relativeHeight="251662336" behindDoc="0" locked="0" layoutInCell="1" allowOverlap="1" wp14:anchorId="4FB321A2" wp14:editId="261E1E5E">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8B9B6F7" w14:textId="77777777" w:rsidR="00A91A4A" w:rsidRDefault="00670D99">
                          <w:pPr>
                            <w:pStyle w:val="a4"/>
                          </w:pPr>
                          <w:r>
                            <w:fldChar w:fldCharType="begin"/>
                          </w:r>
                          <w:r>
                            <w:instrText xml:space="preserve"> PAGE  \* MERGEFORMAT </w:instrText>
                          </w:r>
                          <w:r>
                            <w:fldChar w:fldCharType="separate"/>
                          </w:r>
                          <w:r w:rsidR="00E61499">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FB321A2" id="_x0000_t202" coordsize="21600,21600" o:spt="202" path="m,l,21600r21600,l21600,xe">
              <v:stroke joinstyle="miter"/>
              <v:path gradientshapeok="t" o:connecttype="rect"/>
            </v:shapetype>
            <v:shape id="文本框 7"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KXkX9VBAgAA6wQAAA4AAAAAAAAA&#10;AAAAAAAALgIAAGRycy9lMm9Eb2MueG1sUEsBAi0AFAAGAAgAAAAhAOcqirzWAAAABQEAAA8AAAAA&#10;AAAAAAAAAAAAmwQAAGRycy9kb3ducmV2LnhtbFBLBQYAAAAABAAEAPMAAACeBQAAAAA=&#10;" filled="f" fillcolor="white [3201]" stroked="f" strokeweight=".5pt">
              <v:textbox style="mso-fit-shape-to-text:t" inset="0,0,0,0">
                <w:txbxContent>
                  <w:p w14:paraId="28B9B6F7" w14:textId="77777777" w:rsidR="00A91A4A" w:rsidRDefault="00670D99">
                    <w:pPr>
                      <w:pStyle w:val="a4"/>
                    </w:pPr>
                    <w:r>
                      <w:fldChar w:fldCharType="begin"/>
                    </w:r>
                    <w:r>
                      <w:instrText xml:space="preserve"> PAGE  \* MERGEFORMAT </w:instrText>
                    </w:r>
                    <w:r>
                      <w:fldChar w:fldCharType="separate"/>
                    </w:r>
                    <w:r w:rsidR="00E61499">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166FA" w14:textId="77777777" w:rsidR="000712C2" w:rsidRDefault="000712C2">
      <w:r>
        <w:separator/>
      </w:r>
    </w:p>
  </w:footnote>
  <w:footnote w:type="continuationSeparator" w:id="0">
    <w:p w14:paraId="167CE047" w14:textId="77777777" w:rsidR="000712C2" w:rsidRDefault="00071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8178" w14:textId="77777777" w:rsidR="00A91A4A" w:rsidRDefault="00C52AC9">
    <w:pPr>
      <w:pStyle w:val="ab"/>
      <w:spacing w:after="0"/>
    </w:pPr>
    <w:r>
      <w:rPr>
        <w:rFonts w:hint="eastAsia"/>
      </w:rPr>
      <w:t>T</w:t>
    </w:r>
    <w:r w:rsidR="00670D99">
      <w:rPr>
        <w:rFonts w:hint="eastAsia"/>
      </w:rPr>
      <w:t>/</w:t>
    </w:r>
    <w:r>
      <w:rPr>
        <w:rFonts w:hint="eastAsia"/>
      </w:rPr>
      <w:t>JSBFA</w:t>
    </w:r>
    <w:r w:rsidR="00670D99">
      <w:rPr>
        <w:rFonts w:hint="eastAsia"/>
      </w:rPr>
      <w:t xml:space="preserve"> </w:t>
    </w:r>
    <w:r>
      <w:rPr>
        <w:rFonts w:hint="eastAsia"/>
      </w:rPr>
      <w:t xml:space="preserve"> </w:t>
    </w:r>
    <w:r w:rsidR="00670D99">
      <w:rPr>
        <w:rFonts w:hint="eastAsia"/>
      </w:rPr>
      <w:t>XXXX</w:t>
    </w:r>
    <w:r w:rsidR="00670D99">
      <w:t>—</w:t>
    </w:r>
    <w:r w:rsidR="00670D99">
      <w:t>20</w:t>
    </w:r>
    <w:r w:rsidR="00670D99">
      <w:rPr>
        <w:rFonts w:hint="eastAsia"/>
      </w:rPr>
      <w:t>2</w:t>
    </w:r>
    <w:r>
      <w:rPr>
        <w:rFonts w:hint="eastAsia"/>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16cid:durableId="118571427">
    <w:abstractNumId w:val="0"/>
  </w:num>
  <w:num w:numId="2" w16cid:durableId="1780100091">
    <w:abstractNumId w:val="0"/>
  </w:num>
  <w:num w:numId="3" w16cid:durableId="1872650796">
    <w:abstractNumId w:val="0"/>
  </w:num>
  <w:num w:numId="4" w16cid:durableId="659771555">
    <w:abstractNumId w:val="0"/>
  </w:num>
  <w:num w:numId="5" w16cid:durableId="84032780">
    <w:abstractNumId w:val="0"/>
  </w:num>
  <w:num w:numId="6" w16cid:durableId="1148546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WVkNDIzM2E1ODU2N2E3NjNiNzJhNDQxMDIzNDQ2Y2QifQ=="/>
  </w:docVars>
  <w:rsids>
    <w:rsidRoot w:val="263A55D7"/>
    <w:rsid w:val="00027396"/>
    <w:rsid w:val="000712C2"/>
    <w:rsid w:val="001E00FD"/>
    <w:rsid w:val="00230B9D"/>
    <w:rsid w:val="0023285B"/>
    <w:rsid w:val="00260AD0"/>
    <w:rsid w:val="00421585"/>
    <w:rsid w:val="006074F0"/>
    <w:rsid w:val="00670D99"/>
    <w:rsid w:val="006A5BF4"/>
    <w:rsid w:val="00701566"/>
    <w:rsid w:val="00771553"/>
    <w:rsid w:val="00867CFC"/>
    <w:rsid w:val="008A4F16"/>
    <w:rsid w:val="0098153C"/>
    <w:rsid w:val="00A91A4A"/>
    <w:rsid w:val="00BC4B82"/>
    <w:rsid w:val="00C21D13"/>
    <w:rsid w:val="00C52AC9"/>
    <w:rsid w:val="00C6071E"/>
    <w:rsid w:val="00DF3B4D"/>
    <w:rsid w:val="00E61499"/>
    <w:rsid w:val="00F83831"/>
    <w:rsid w:val="00FE4538"/>
    <w:rsid w:val="00FF5C81"/>
    <w:rsid w:val="149B549C"/>
    <w:rsid w:val="1A802F17"/>
    <w:rsid w:val="1AB33062"/>
    <w:rsid w:val="263A55D7"/>
    <w:rsid w:val="29216576"/>
    <w:rsid w:val="49ED2E91"/>
    <w:rsid w:val="53D6A0C6"/>
    <w:rsid w:val="FEEE5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2CBFF72"/>
  <w15:docId w15:val="{CF168832-9DB3-48F5-B17F-5F1881EEA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rFonts w:ascii="Calibri" w:eastAsia="宋体" w:hAnsi="Calibri" w:cs="Times New Roman"/>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uiPriority w:val="99"/>
    <w:unhideWhenUsed/>
    <w:qFormat/>
    <w:pPr>
      <w:tabs>
        <w:tab w:val="center" w:pos="4153"/>
        <w:tab w:val="right" w:pos="8306"/>
      </w:tabs>
      <w:snapToGrid w:val="0"/>
      <w:jc w:val="left"/>
    </w:pPr>
    <w:rPr>
      <w:sz w:val="18"/>
      <w:szCs w:val="18"/>
    </w:rPr>
  </w:style>
  <w:style w:type="paragraph" w:styleId="a5">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a6">
    <w:name w:val="标准标志"/>
    <w:next w:val="a0"/>
    <w:qFormat/>
    <w:pPr>
      <w:framePr w:w="2546" w:h="1389" w:hRule="exact" w:hSpace="181" w:vSpace="181" w:wrap="around" w:hAnchor="margin" w:x="6522" w:y="398" w:anchorLock="1"/>
      <w:shd w:val="solid" w:color="FFFFFF" w:fill="FFFFFF"/>
      <w:spacing w:line="0" w:lineRule="atLeast"/>
      <w:jc w:val="right"/>
    </w:pPr>
    <w:rPr>
      <w:rFonts w:ascii="Times New Roman" w:eastAsia="宋体" w:hAnsi="Times New Roman" w:cs="Times New Roman"/>
      <w:b/>
      <w:w w:val="170"/>
      <w:sz w:val="96"/>
      <w:szCs w:val="96"/>
    </w:rPr>
  </w:style>
  <w:style w:type="paragraph" w:customStyle="1" w:styleId="2">
    <w:name w:val="封面标准号2"/>
    <w:qFormat/>
    <w:pPr>
      <w:framePr w:w="9140" w:h="1242" w:hRule="exact" w:hSpace="284" w:wrap="around" w:vAnchor="page" w:hAnchor="page" w:x="1645" w:y="2910" w:anchorLock="1"/>
      <w:spacing w:before="357" w:line="280" w:lineRule="exact"/>
      <w:jc w:val="right"/>
    </w:pPr>
    <w:rPr>
      <w:rFonts w:ascii="黑体" w:eastAsia="黑体" w:hAnsi="Times New Roman" w:cs="Times New Roman"/>
      <w:sz w:val="28"/>
      <w:szCs w:val="28"/>
    </w:rPr>
  </w:style>
  <w:style w:type="paragraph" w:customStyle="1" w:styleId="a7">
    <w:name w:val="前言、引言标题"/>
    <w:next w:val="a8"/>
    <w:qFormat/>
    <w:pPr>
      <w:keepNext/>
      <w:pageBreakBefore/>
      <w:shd w:val="clear" w:color="FFFFFF" w:fill="FFFFFF"/>
      <w:spacing w:before="640" w:after="560"/>
      <w:jc w:val="center"/>
      <w:outlineLvl w:val="0"/>
    </w:pPr>
    <w:rPr>
      <w:rFonts w:ascii="黑体" w:eastAsia="黑体" w:hAnsi="Times New Roman" w:cs="Times New Roman"/>
      <w:sz w:val="32"/>
    </w:rPr>
  </w:style>
  <w:style w:type="paragraph" w:customStyle="1" w:styleId="a8">
    <w:name w:val="段"/>
    <w:qFormat/>
    <w:pPr>
      <w:tabs>
        <w:tab w:val="center" w:pos="4201"/>
        <w:tab w:val="right" w:leader="dot" w:pos="9298"/>
      </w:tabs>
      <w:autoSpaceDE w:val="0"/>
      <w:autoSpaceDN w:val="0"/>
      <w:ind w:firstLineChars="200" w:firstLine="420"/>
      <w:jc w:val="both"/>
    </w:pPr>
    <w:rPr>
      <w:rFonts w:ascii="宋体" w:eastAsia="宋体" w:hAnsi="Times New Roman" w:cs="Times New Roman"/>
      <w:sz w:val="21"/>
    </w:rPr>
  </w:style>
  <w:style w:type="paragraph" w:customStyle="1" w:styleId="a9">
    <w:name w:val="目次、标准名称标题"/>
    <w:basedOn w:val="a0"/>
    <w:next w:val="a8"/>
    <w:qFormat/>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
    <w:name w:val="章标题"/>
    <w:next w:val="a8"/>
    <w:qFormat/>
    <w:pPr>
      <w:numPr>
        <w:numId w:val="1"/>
      </w:numPr>
      <w:spacing w:beforeLines="100" w:before="312" w:afterLines="100" w:after="312"/>
      <w:jc w:val="both"/>
      <w:outlineLvl w:val="1"/>
    </w:pPr>
    <w:rPr>
      <w:rFonts w:ascii="黑体" w:eastAsia="黑体" w:hAnsi="Times New Roman" w:cs="Times New Roman"/>
      <w:sz w:val="21"/>
    </w:rPr>
  </w:style>
  <w:style w:type="paragraph" w:customStyle="1" w:styleId="aa">
    <w:name w:val="终结线"/>
    <w:basedOn w:val="a0"/>
    <w:qFormat/>
    <w:pPr>
      <w:framePr w:hSpace="181" w:vSpace="181" w:wrap="around" w:vAnchor="text" w:hAnchor="margin" w:xAlign="center" w:y="285"/>
    </w:pPr>
  </w:style>
  <w:style w:type="paragraph" w:customStyle="1" w:styleId="ab">
    <w:name w:val="标准书眉_奇数页"/>
    <w:next w:val="a0"/>
    <w:qFormat/>
    <w:pPr>
      <w:tabs>
        <w:tab w:val="center" w:pos="4154"/>
        <w:tab w:val="right" w:pos="8306"/>
      </w:tabs>
      <w:spacing w:after="220"/>
      <w:jc w:val="right"/>
    </w:pPr>
    <w:rPr>
      <w:rFonts w:ascii="黑体" w:eastAsia="黑体" w:hAnsi="Times New Roman" w:cs="Times New Roman"/>
      <w:sz w:val="21"/>
      <w:szCs w:val="21"/>
    </w:rPr>
  </w:style>
  <w:style w:type="paragraph" w:customStyle="1" w:styleId="ac">
    <w:name w:val="标准书脚_奇数页"/>
    <w:qFormat/>
    <w:pPr>
      <w:spacing w:before="120"/>
      <w:ind w:right="198"/>
      <w:jc w:val="right"/>
    </w:pPr>
    <w:rPr>
      <w:rFonts w:ascii="宋体"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687</Words>
  <Characters>3922</Characters>
  <Application>Microsoft Office Word</Application>
  <DocSecurity>0</DocSecurity>
  <Lines>32</Lines>
  <Paragraphs>9</Paragraphs>
  <ScaleCrop>false</ScaleCrop>
  <Company>China</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云海</dc:creator>
  <cp:lastModifiedBy>T S</cp:lastModifiedBy>
  <cp:revision>10</cp:revision>
  <cp:lastPrinted>2023-09-08T15:10:00Z</cp:lastPrinted>
  <dcterms:created xsi:type="dcterms:W3CDTF">2021-11-02T18:55:00Z</dcterms:created>
  <dcterms:modified xsi:type="dcterms:W3CDTF">2026-09-17T09:21:00Z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A55576195EA74C7A9AC53E9D8F6C4C37</vt:lpwstr>
  </property>
</Properties>
</file>