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B949B" w14:textId="77777777" w:rsidR="00A91A4A" w:rsidRDefault="00C52AC9" w:rsidP="00E61499">
      <w:pPr>
        <w:widowControl/>
        <w:rPr>
          <w:rFonts w:ascii="黑体" w:eastAsia="黑体" w:hAnsi="黑体" w:cs="黑体" w:hint="eastAsia"/>
        </w:rPr>
      </w:pPr>
      <w:r>
        <w:rPr>
          <w:rFonts w:ascii="Times New Roman" w:eastAsia="黑体" w:hAnsi="Times New Roman" w:hint="eastAsia"/>
          <w:color w:val="000000"/>
          <w:kern w:val="0"/>
          <w:sz w:val="32"/>
          <w:szCs w:val="32"/>
        </w:rPr>
        <w:t xml:space="preserve">　</w:t>
      </w:r>
      <w:r w:rsidR="00670D99">
        <w:rPr>
          <w:rFonts w:ascii="黑体" w:eastAsia="黑体" w:hAnsi="黑体" w:cs="黑体" w:hint="eastAsia"/>
        </w:rPr>
        <w:t>ICS 65.020</w:t>
      </w:r>
    </w:p>
    <w:p w14:paraId="5050E40F" w14:textId="77777777" w:rsidR="00A91A4A" w:rsidRDefault="00670D99">
      <w:pPr>
        <w:rPr>
          <w:rFonts w:ascii="黑体" w:eastAsia="黑体" w:hAnsi="黑体" w:cs="黑体" w:hint="eastAsia"/>
        </w:rPr>
      </w:pPr>
      <w:r>
        <w:rPr>
          <w:rFonts w:ascii="黑体" w:eastAsia="黑体" w:hAnsi="黑体" w:cs="黑体" w:hint="eastAsia"/>
        </w:rPr>
        <w:t xml:space="preserve">CCS </w:t>
      </w:r>
    </w:p>
    <w:p w14:paraId="4A4A06EA" w14:textId="77777777" w:rsidR="00C52AC9" w:rsidRDefault="00C52AC9" w:rsidP="00C52AC9">
      <w:pPr>
        <w:pStyle w:val="a6"/>
        <w:framePr w:w="0" w:hRule="auto" w:hSpace="0" w:vSpace="0" w:wrap="auto" w:hAnchor="text" w:xAlign="left" w:yAlign="inline"/>
        <w:spacing w:beforeLines="50" w:before="156" w:afterLines="100" w:after="312"/>
        <w:ind w:right="628"/>
        <w:rPr>
          <w:rFonts w:eastAsia="黑体"/>
          <w:b w:val="0"/>
          <w:spacing w:val="57"/>
          <w:sz w:val="52"/>
          <w:szCs w:val="52"/>
        </w:rPr>
      </w:pPr>
    </w:p>
    <w:p w14:paraId="14F81554" w14:textId="77777777" w:rsidR="00A91A4A" w:rsidRPr="00E61499" w:rsidRDefault="00670D99" w:rsidP="00C52AC9">
      <w:pPr>
        <w:pStyle w:val="a6"/>
        <w:framePr w:w="0" w:hRule="auto" w:hSpace="0" w:vSpace="0" w:wrap="auto" w:hAnchor="text" w:xAlign="left" w:yAlign="inline"/>
        <w:spacing w:beforeLines="50" w:before="156" w:afterLines="100" w:after="312"/>
        <w:ind w:right="628"/>
        <w:rPr>
          <w:rFonts w:ascii="黑体" w:eastAsia="黑体" w:hAnsi="黑体" w:hint="eastAsia"/>
          <w:b w:val="0"/>
          <w:w w:val="130"/>
          <w:sz w:val="52"/>
          <w:szCs w:val="52"/>
        </w:rPr>
      </w:pPr>
      <w:r>
        <w:rPr>
          <w:rFonts w:eastAsia="黑体" w:hint="eastAsia"/>
          <w:b w:val="0"/>
          <w:spacing w:val="57"/>
          <w:sz w:val="52"/>
          <w:szCs w:val="52"/>
        </w:rPr>
        <w:t xml:space="preserve">         </w:t>
      </w:r>
      <w:r w:rsidR="00C52AC9" w:rsidRPr="00E61499">
        <w:rPr>
          <w:rFonts w:ascii="黑体" w:eastAsia="黑体" w:hAnsi="黑体" w:hint="eastAsia"/>
          <w:b w:val="0"/>
          <w:spacing w:val="57"/>
          <w:sz w:val="52"/>
          <w:szCs w:val="52"/>
        </w:rPr>
        <w:t>T/JSBFA</w:t>
      </w:r>
    </w:p>
    <w:p w14:paraId="0C56F496" w14:textId="77777777" w:rsidR="00A91A4A" w:rsidRDefault="00C52AC9" w:rsidP="00C52AC9">
      <w:pPr>
        <w:autoSpaceDE w:val="0"/>
        <w:autoSpaceDN w:val="0"/>
        <w:adjustRightInd w:val="0"/>
        <w:ind w:leftChars="200" w:left="420"/>
        <w:rPr>
          <w:rFonts w:eastAsia="黑体"/>
          <w:spacing w:val="100"/>
          <w:kern w:val="0"/>
          <w:sz w:val="44"/>
          <w:szCs w:val="44"/>
        </w:rPr>
      </w:pPr>
      <w:r w:rsidRPr="00E61499">
        <w:rPr>
          <w:rFonts w:eastAsia="黑体" w:hint="eastAsia"/>
          <w:spacing w:val="20"/>
          <w:kern w:val="0"/>
          <w:sz w:val="56"/>
          <w:szCs w:val="56"/>
          <w:fitText w:val="8960" w:id="-901094656"/>
        </w:rPr>
        <w:t>江苏省测土配方施肥协会</w:t>
      </w:r>
      <w:r w:rsidR="00421585" w:rsidRPr="00E61499">
        <w:rPr>
          <w:rFonts w:eastAsia="黑体" w:hint="eastAsia"/>
          <w:spacing w:val="20"/>
          <w:kern w:val="0"/>
          <w:sz w:val="56"/>
          <w:szCs w:val="56"/>
          <w:fitText w:val="8960" w:id="-901094656"/>
        </w:rPr>
        <w:t>团体</w:t>
      </w:r>
      <w:r w:rsidR="00670D99" w:rsidRPr="00E61499">
        <w:rPr>
          <w:rFonts w:eastAsia="黑体"/>
          <w:spacing w:val="20"/>
          <w:kern w:val="0"/>
          <w:sz w:val="56"/>
          <w:szCs w:val="56"/>
          <w:fitText w:val="8960" w:id="-901094656"/>
        </w:rPr>
        <w:t>标</w:t>
      </w:r>
      <w:r w:rsidR="00670D99" w:rsidRPr="00E61499">
        <w:rPr>
          <w:rFonts w:eastAsia="黑体"/>
          <w:kern w:val="0"/>
          <w:sz w:val="56"/>
          <w:szCs w:val="56"/>
          <w:fitText w:val="8960" w:id="-901094656"/>
        </w:rPr>
        <w:t>准</w:t>
      </w:r>
    </w:p>
    <w:p w14:paraId="7EF1D363" w14:textId="77777777" w:rsidR="00A91A4A" w:rsidRDefault="00C52AC9">
      <w:pPr>
        <w:pStyle w:val="2"/>
        <w:framePr w:w="0" w:hRule="auto" w:hSpace="0" w:wrap="auto" w:vAnchor="margin" w:hAnchor="text" w:xAlign="left" w:yAlign="inline"/>
        <w:widowControl w:val="0"/>
        <w:kinsoku w:val="0"/>
        <w:overflowPunct w:val="0"/>
        <w:autoSpaceDE w:val="0"/>
        <w:autoSpaceDN w:val="0"/>
        <w:adjustRightInd w:val="0"/>
        <w:ind w:right="554"/>
        <w:textAlignment w:val="center"/>
        <w:rPr>
          <w:rFonts w:ascii="Times New Roman"/>
          <w:szCs w:val="20"/>
        </w:rPr>
      </w:pPr>
      <w:r>
        <w:rPr>
          <w:rFonts w:hAnsi="黑体" w:cs="黑体" w:hint="eastAsia"/>
          <w:szCs w:val="20"/>
        </w:rPr>
        <w:t>T</w:t>
      </w:r>
      <w:r w:rsidR="00421585">
        <w:rPr>
          <w:rFonts w:hAnsi="黑体" w:cs="黑体" w:hint="eastAsia"/>
          <w:szCs w:val="20"/>
        </w:rPr>
        <w:t>/</w:t>
      </w:r>
      <w:r>
        <w:rPr>
          <w:rFonts w:hAnsi="黑体" w:cs="黑体" w:hint="eastAsia"/>
          <w:szCs w:val="20"/>
        </w:rPr>
        <w:t>JSBFA</w:t>
      </w:r>
      <w:r w:rsidR="00670D99">
        <w:rPr>
          <w:rFonts w:hAnsi="黑体" w:cs="黑体" w:hint="eastAsia"/>
          <w:szCs w:val="20"/>
        </w:rPr>
        <w:t xml:space="preserve">  XXXX-202</w:t>
      </w:r>
      <w:r>
        <w:rPr>
          <w:rFonts w:hAnsi="黑体" w:cs="黑体" w:hint="eastAsia"/>
          <w:szCs w:val="20"/>
        </w:rPr>
        <w:t>4</w:t>
      </w:r>
    </w:p>
    <w:p w14:paraId="1E478650" w14:textId="77777777" w:rsidR="00A91A4A" w:rsidRDefault="00670D99">
      <w:pPr>
        <w:spacing w:line="380" w:lineRule="exact"/>
        <w:rPr>
          <w:b/>
          <w:sz w:val="32"/>
          <w:szCs w:val="32"/>
        </w:rPr>
      </w:pPr>
      <w:r>
        <w:rPr>
          <w:b/>
          <w:noProof/>
          <w:sz w:val="32"/>
          <w:szCs w:val="32"/>
        </w:rPr>
        <mc:AlternateContent>
          <mc:Choice Requires="wps">
            <w:drawing>
              <wp:anchor distT="0" distB="0" distL="114300" distR="114300" simplePos="0" relativeHeight="251660288" behindDoc="0" locked="0" layoutInCell="1" allowOverlap="1" wp14:anchorId="4F4F67B5" wp14:editId="344A59CE">
                <wp:simplePos x="0" y="0"/>
                <wp:positionH relativeFrom="column">
                  <wp:posOffset>0</wp:posOffset>
                </wp:positionH>
                <wp:positionV relativeFrom="paragraph">
                  <wp:posOffset>80010</wp:posOffset>
                </wp:positionV>
                <wp:extent cx="6012180" cy="19050"/>
                <wp:effectExtent l="0" t="4445" r="7620" b="5080"/>
                <wp:wrapNone/>
                <wp:docPr id="3" name="直接连接符 3"/>
                <wp:cNvGraphicFramePr/>
                <a:graphic xmlns:a="http://schemas.openxmlformats.org/drawingml/2006/main">
                  <a:graphicData uri="http://schemas.microsoft.com/office/word/2010/wordprocessingShape">
                    <wps:wsp>
                      <wps:cNvCnPr/>
                      <wps:spPr>
                        <a:xfrm flipV="1">
                          <a:off x="0" y="0"/>
                          <a:ext cx="6012180" cy="1905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903F517" id="直接连接符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0,6.3pt" to="473.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"/>
            </w:pict>
          </mc:Fallback>
        </mc:AlternateContent>
      </w:r>
    </w:p>
    <w:p w14:paraId="38F85C97" w14:textId="77777777" w:rsidR="00A91A4A" w:rsidRDefault="00A91A4A">
      <w:pPr>
        <w:spacing w:line="380" w:lineRule="exact"/>
        <w:rPr>
          <w:b/>
          <w:sz w:val="44"/>
          <w:szCs w:val="44"/>
        </w:rPr>
      </w:pPr>
    </w:p>
    <w:p w14:paraId="2B04E92B" w14:textId="77777777" w:rsidR="00A91A4A" w:rsidRDefault="00A91A4A">
      <w:pPr>
        <w:spacing w:line="360" w:lineRule="auto"/>
        <w:rPr>
          <w:sz w:val="44"/>
          <w:szCs w:val="44"/>
        </w:rPr>
      </w:pPr>
    </w:p>
    <w:p w14:paraId="7671E811" w14:textId="174C89F1" w:rsidR="00A91A4A" w:rsidRDefault="003C422F">
      <w:pPr>
        <w:spacing w:line="360" w:lineRule="auto"/>
        <w:jc w:val="center"/>
        <w:rPr>
          <w:rFonts w:eastAsia="黑体" w:hAnsi="黑体" w:hint="eastAsia"/>
          <w:sz w:val="52"/>
          <w:szCs w:val="52"/>
        </w:rPr>
      </w:pPr>
      <w:r w:rsidRPr="003C422F">
        <w:rPr>
          <w:rFonts w:eastAsia="黑体" w:hAnsi="黑体"/>
          <w:sz w:val="52"/>
          <w:szCs w:val="52"/>
        </w:rPr>
        <w:t>水稻轻简化覆膜节水与养分控施高效利用技术规程</w:t>
      </w:r>
    </w:p>
    <w:p w14:paraId="0AE0BF07" w14:textId="77777777" w:rsidR="00A91A4A" w:rsidRDefault="00A91A4A">
      <w:pPr>
        <w:spacing w:line="380" w:lineRule="exact"/>
        <w:jc w:val="center"/>
        <w:outlineLvl w:val="0"/>
        <w:rPr>
          <w:sz w:val="24"/>
        </w:rPr>
      </w:pPr>
    </w:p>
    <w:p w14:paraId="7227C6EF" w14:textId="1C9B98EF" w:rsidR="00A91A4A" w:rsidRDefault="0030154D" w:rsidP="0030154D">
      <w:pPr>
        <w:spacing w:line="380" w:lineRule="exact"/>
        <w:jc w:val="center"/>
        <w:outlineLvl w:val="0"/>
        <w:rPr>
          <w:sz w:val="24"/>
        </w:rPr>
      </w:pPr>
      <w:r w:rsidRPr="0030154D">
        <w:rPr>
          <w:rFonts w:eastAsia="黑体"/>
          <w:sz w:val="28"/>
          <w:szCs w:val="28"/>
        </w:rPr>
        <w:t>Simplified technical specification for water saving and efficient nutrient utilization via rice plastic film mulching and controlled nutrient application</w:t>
      </w:r>
    </w:p>
    <w:p w14:paraId="7B07B3A2" w14:textId="77777777" w:rsidR="00A91A4A" w:rsidRDefault="00A91A4A">
      <w:pPr>
        <w:spacing w:line="380" w:lineRule="exact"/>
        <w:outlineLvl w:val="0"/>
        <w:rPr>
          <w:sz w:val="24"/>
        </w:rPr>
      </w:pPr>
    </w:p>
    <w:p w14:paraId="718354F2" w14:textId="77777777" w:rsidR="00A91A4A" w:rsidRDefault="00670D99">
      <w:pPr>
        <w:spacing w:line="380" w:lineRule="exact"/>
        <w:jc w:val="center"/>
        <w:outlineLvl w:val="0"/>
        <w:rPr>
          <w:rFonts w:eastAsia="黑体"/>
          <w:b/>
          <w:bCs/>
          <w:sz w:val="32"/>
          <w:szCs w:val="32"/>
        </w:rPr>
      </w:pPr>
      <w:bookmarkStart w:id="0" w:name="_Toc20663828"/>
      <w:r>
        <w:rPr>
          <w:rFonts w:eastAsia="黑体"/>
          <w:sz w:val="32"/>
          <w:szCs w:val="32"/>
        </w:rPr>
        <w:t>（</w:t>
      </w:r>
      <w:r w:rsidR="00C52AC9">
        <w:rPr>
          <w:rFonts w:eastAsia="黑体" w:hint="eastAsia"/>
          <w:sz w:val="32"/>
          <w:szCs w:val="32"/>
        </w:rPr>
        <w:t>征求意见稿</w:t>
      </w:r>
      <w:r>
        <w:rPr>
          <w:rFonts w:eastAsia="黑体"/>
          <w:sz w:val="32"/>
          <w:szCs w:val="32"/>
        </w:rPr>
        <w:t>）</w:t>
      </w:r>
      <w:bookmarkEnd w:id="0"/>
    </w:p>
    <w:p w14:paraId="565EB4EF" w14:textId="77777777" w:rsidR="00A91A4A" w:rsidRDefault="00A91A4A">
      <w:pPr>
        <w:spacing w:line="380" w:lineRule="exact"/>
        <w:outlineLvl w:val="0"/>
        <w:rPr>
          <w:b/>
          <w:sz w:val="24"/>
        </w:rPr>
      </w:pPr>
    </w:p>
    <w:p w14:paraId="0A5019C2" w14:textId="77777777" w:rsidR="00A91A4A" w:rsidRDefault="00A91A4A">
      <w:pPr>
        <w:spacing w:line="380" w:lineRule="exact"/>
        <w:outlineLvl w:val="0"/>
        <w:rPr>
          <w:b/>
          <w:sz w:val="24"/>
        </w:rPr>
      </w:pPr>
    </w:p>
    <w:p w14:paraId="3DF8CE4A" w14:textId="77777777" w:rsidR="00421585" w:rsidRDefault="00421585">
      <w:pPr>
        <w:spacing w:line="380" w:lineRule="exact"/>
        <w:outlineLvl w:val="0"/>
        <w:rPr>
          <w:b/>
          <w:sz w:val="24"/>
        </w:rPr>
      </w:pPr>
    </w:p>
    <w:p w14:paraId="0D0ECA2C" w14:textId="77777777" w:rsidR="00A91A4A" w:rsidRDefault="00A91A4A">
      <w:pPr>
        <w:spacing w:line="380" w:lineRule="exact"/>
        <w:outlineLvl w:val="0"/>
        <w:rPr>
          <w:b/>
          <w:sz w:val="24"/>
        </w:rPr>
      </w:pPr>
    </w:p>
    <w:p w14:paraId="0B6EB2EF" w14:textId="77777777" w:rsidR="00A91A4A" w:rsidRDefault="00A91A4A">
      <w:pPr>
        <w:spacing w:line="380" w:lineRule="exact"/>
        <w:outlineLvl w:val="0"/>
        <w:rPr>
          <w:b/>
          <w:sz w:val="24"/>
        </w:rPr>
      </w:pPr>
    </w:p>
    <w:p w14:paraId="30D33019" w14:textId="77777777" w:rsidR="00A91A4A" w:rsidRDefault="00A91A4A">
      <w:pPr>
        <w:spacing w:line="380" w:lineRule="exact"/>
        <w:outlineLvl w:val="0"/>
        <w:rPr>
          <w:b/>
          <w:sz w:val="24"/>
        </w:rPr>
      </w:pPr>
    </w:p>
    <w:p w14:paraId="30E90E8B" w14:textId="77777777" w:rsidR="00A91A4A" w:rsidRDefault="00A91A4A">
      <w:pPr>
        <w:spacing w:line="380" w:lineRule="exact"/>
        <w:outlineLvl w:val="0"/>
        <w:rPr>
          <w:b/>
          <w:sz w:val="24"/>
        </w:rPr>
      </w:pPr>
    </w:p>
    <w:p w14:paraId="77DFADB4" w14:textId="77777777" w:rsidR="00A91A4A" w:rsidRDefault="00670D99">
      <w:pPr>
        <w:spacing w:line="380" w:lineRule="exact"/>
        <w:jc w:val="center"/>
        <w:outlineLvl w:val="0"/>
        <w:rPr>
          <w:rFonts w:ascii="黑体" w:eastAsia="黑体" w:hAnsi="黑体" w:cs="黑体" w:hint="eastAsia"/>
          <w:b/>
          <w:sz w:val="28"/>
          <w:szCs w:val="28"/>
        </w:rPr>
      </w:pPr>
      <w:bookmarkStart w:id="1" w:name="_Toc20663829"/>
      <w:r>
        <w:rPr>
          <w:rFonts w:ascii="黑体" w:eastAsia="黑体" w:hAnsi="黑体" w:cs="黑体" w:hint="eastAsia"/>
          <w:kern w:val="0"/>
          <w:sz w:val="28"/>
          <w:szCs w:val="28"/>
        </w:rPr>
        <w:t>XXXX -XX-XX 发布                              XXXX -XX-XX 实施</w:t>
      </w:r>
      <w:bookmarkEnd w:id="1"/>
    </w:p>
    <w:p w14:paraId="5B17CFF8" w14:textId="77777777" w:rsidR="00A91A4A" w:rsidRDefault="00670D99">
      <w:pPr>
        <w:spacing w:line="380" w:lineRule="exact"/>
        <w:outlineLvl w:val="0"/>
        <w:rPr>
          <w:b/>
          <w:sz w:val="24"/>
        </w:rPr>
      </w:pPr>
      <w:r>
        <w:rPr>
          <w:b/>
          <w:noProof/>
          <w:sz w:val="32"/>
          <w:szCs w:val="32"/>
        </w:rPr>
        <mc:AlternateContent>
          <mc:Choice Requires="wps">
            <w:drawing>
              <wp:anchor distT="0" distB="0" distL="114300" distR="114300" simplePos="0" relativeHeight="251661312" behindDoc="0" locked="0" layoutInCell="1" allowOverlap="1" wp14:anchorId="2363FF84" wp14:editId="4E4E2FF6">
                <wp:simplePos x="0" y="0"/>
                <wp:positionH relativeFrom="margin">
                  <wp:posOffset>302496</wp:posOffset>
                </wp:positionH>
                <wp:positionV relativeFrom="paragraph">
                  <wp:posOffset>212046</wp:posOffset>
                </wp:positionV>
                <wp:extent cx="5714335" cy="0"/>
                <wp:effectExtent l="0" t="0" r="20320" b="19050"/>
                <wp:wrapNone/>
                <wp:docPr id="6" name="直接连接符 6"/>
                <wp:cNvGraphicFramePr/>
                <a:graphic xmlns:a="http://schemas.openxmlformats.org/drawingml/2006/main">
                  <a:graphicData uri="http://schemas.microsoft.com/office/word/2010/wordprocessingShape">
                    <wps:wsp>
                      <wps:cNvCnPr/>
                      <wps:spPr>
                        <a:xfrm>
                          <a:off x="0" y="0"/>
                          <a:ext cx="5714335" cy="0"/>
                        </a:xfrm>
                        <a:prstGeom prst="line">
                          <a:avLst/>
                        </a:prstGeom>
                        <a:ln w="9525" cap="flat" cmpd="sng">
                          <a:solidFill>
                            <a:srgbClr val="000000"/>
                          </a:solidFill>
                          <a:prstDash val="solid"/>
                          <a:headEnd type="none" w="med" len="med"/>
                          <a:tailEnd type="none" w="med" len="med"/>
                        </a:ln>
                      </wps:spPr>
                      <wps:bodyPr/>
                    </wps:wsp>
                  </a:graphicData>
                </a:graphic>
                <wp14:sizeRelH relativeFrom="margin">
                  <wp14:pctWidth>0</wp14:pctWidth>
                </wp14:sizeRelH>
              </wp:anchor>
            </w:drawing>
          </mc:Choice>
          <mc:Fallback>
            <w:pict>
              <v:line w14:anchorId="22CEA9A7" id="直接连接符 6"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3.8pt,16.7pt" to="473.7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">
                <w10:wrap anchorx="margin"/>
              </v:line>
            </w:pict>
          </mc:Fallback>
        </mc:AlternateContent>
      </w:r>
    </w:p>
    <w:p w14:paraId="3B92476B" w14:textId="77777777" w:rsidR="00A91A4A" w:rsidRDefault="00DF3B4D" w:rsidP="00C52AC9">
      <w:pPr>
        <w:widowControl/>
        <w:spacing w:beforeLines="50" w:before="156"/>
        <w:jc w:val="center"/>
        <w:rPr>
          <w:rFonts w:eastAsia="黑体"/>
          <w:spacing w:val="20"/>
          <w:w w:val="135"/>
          <w:kern w:val="0"/>
          <w:sz w:val="28"/>
          <w:szCs w:val="20"/>
        </w:rPr>
        <w:sectPr w:rsidR="00A91A4A">
          <w:footerReference w:type="default" r:id="rId8"/>
          <w:footerReference w:type="first" r:id="rId9"/>
          <w:pgSz w:w="11906" w:h="16838"/>
          <w:pgMar w:top="1440" w:right="1080" w:bottom="1440" w:left="1080" w:header="1418" w:footer="964" w:gutter="0"/>
          <w:pgNumType w:fmt="numberInDash" w:start="1"/>
          <w:cols w:space="720"/>
          <w:formProt w:val="0"/>
          <w:titlePg/>
          <w:docGrid w:type="lines" w:linePitch="312"/>
        </w:sectPr>
      </w:pPr>
      <w:r>
        <w:rPr>
          <w:rFonts w:eastAsia="黑体" w:hint="eastAsia"/>
          <w:spacing w:val="20"/>
          <w:w w:val="135"/>
          <w:kern w:val="0"/>
          <w:sz w:val="28"/>
          <w:szCs w:val="28"/>
        </w:rPr>
        <w:t>江苏省测土配方施肥协会</w:t>
      </w:r>
      <w:r w:rsidR="00670D99">
        <w:rPr>
          <w:rFonts w:eastAsia="黑体" w:hint="eastAsia"/>
          <w:spacing w:val="20"/>
          <w:w w:val="135"/>
          <w:kern w:val="0"/>
          <w:sz w:val="28"/>
          <w:szCs w:val="28"/>
        </w:rPr>
        <w:t xml:space="preserve"> </w:t>
      </w:r>
      <w:r w:rsidR="00670D99">
        <w:rPr>
          <w:rFonts w:eastAsia="黑体"/>
          <w:spacing w:val="20"/>
          <w:w w:val="135"/>
          <w:kern w:val="0"/>
          <w:sz w:val="28"/>
          <w:szCs w:val="20"/>
        </w:rPr>
        <w:t>发布</w:t>
      </w:r>
    </w:p>
    <w:p w14:paraId="75CAA40B" w14:textId="77777777" w:rsidR="00A91A4A" w:rsidRDefault="00A91A4A">
      <w:pPr>
        <w:rPr>
          <w:rFonts w:eastAsia="黑体"/>
          <w:sz w:val="28"/>
          <w:szCs w:val="20"/>
        </w:rPr>
        <w:sectPr w:rsidR="00A91A4A">
          <w:footerReference w:type="default" r:id="rId10"/>
          <w:type w:val="continuous"/>
          <w:pgSz w:w="11906" w:h="16838"/>
          <w:pgMar w:top="1440" w:right="1080" w:bottom="1440" w:left="1080" w:header="1418" w:footer="964" w:gutter="0"/>
          <w:pgNumType w:fmt="numberInDash"/>
          <w:cols w:space="720"/>
          <w:formProt w:val="0"/>
          <w:docGrid w:type="lines" w:linePitch="312"/>
        </w:sectPr>
      </w:pPr>
    </w:p>
    <w:p w14:paraId="7A042178" w14:textId="77777777" w:rsidR="00A91A4A" w:rsidRDefault="00670D99">
      <w:pPr>
        <w:pStyle w:val="a7"/>
      </w:pPr>
      <w:r>
        <w:rPr>
          <w:rFonts w:hint="eastAsia"/>
        </w:rPr>
        <w:lastRenderedPageBreak/>
        <w:t>前</w:t>
      </w:r>
      <w:bookmarkStart w:id="2" w:name="BKQY"/>
      <w:r>
        <w:t>  </w:t>
      </w:r>
      <w:r>
        <w:rPr>
          <w:rFonts w:hint="eastAsia"/>
        </w:rPr>
        <w:t>言</w:t>
      </w:r>
      <w:bookmarkEnd w:id="2"/>
    </w:p>
    <w:p w14:paraId="0B84F2F5" w14:textId="77777777" w:rsidR="00A91A4A" w:rsidRDefault="00670D99">
      <w:pPr>
        <w:pStyle w:val="a8"/>
        <w:rPr>
          <w:color w:val="000000"/>
        </w:rPr>
      </w:pPr>
      <w:r>
        <w:rPr>
          <w:rFonts w:hint="eastAsia"/>
        </w:rPr>
        <w:t>本文件</w:t>
      </w:r>
      <w:r>
        <w:rPr>
          <w:color w:val="000000"/>
        </w:rPr>
        <w:t>按照GB/T 1.1-20</w:t>
      </w:r>
      <w:r>
        <w:rPr>
          <w:rFonts w:hint="eastAsia"/>
          <w:color w:val="000000"/>
        </w:rPr>
        <w:t>20《标准化工作导则  第1部分：标准化文件的结构和起草规则》</w:t>
      </w:r>
      <w:r>
        <w:rPr>
          <w:color w:val="000000"/>
        </w:rPr>
        <w:t>的规</w:t>
      </w:r>
      <w:r>
        <w:rPr>
          <w:rFonts w:hint="eastAsia"/>
          <w:color w:val="000000"/>
        </w:rPr>
        <w:t>定</w:t>
      </w:r>
      <w:r>
        <w:rPr>
          <w:color w:val="000000"/>
        </w:rPr>
        <w:t>起草。</w:t>
      </w:r>
    </w:p>
    <w:p w14:paraId="066945F3" w14:textId="77777777" w:rsidR="00A91A4A" w:rsidRDefault="00670D99">
      <w:pPr>
        <w:pStyle w:val="a8"/>
        <w:rPr>
          <w:color w:val="000000"/>
        </w:rPr>
      </w:pPr>
      <w:r>
        <w:rPr>
          <w:rFonts w:hint="eastAsia"/>
          <w:color w:val="000000"/>
        </w:rPr>
        <w:t>请注意本文件的某些内容可能涉及专利。本文件的发布机构不承担识别专利的责任。</w:t>
      </w:r>
    </w:p>
    <w:p w14:paraId="0FAD1D73" w14:textId="77777777" w:rsidR="00A91A4A" w:rsidRDefault="00670D99">
      <w:pPr>
        <w:pStyle w:val="a8"/>
        <w:rPr>
          <w:color w:val="000000"/>
        </w:rPr>
      </w:pPr>
      <w:r>
        <w:rPr>
          <w:rFonts w:hint="eastAsia"/>
          <w:color w:val="000000"/>
        </w:rPr>
        <w:t>本文件</w:t>
      </w:r>
      <w:r>
        <w:rPr>
          <w:color w:val="000000"/>
        </w:rPr>
        <w:t>由</w:t>
      </w:r>
      <w:r w:rsidR="00C52AC9">
        <w:rPr>
          <w:rFonts w:hint="eastAsia"/>
          <w:color w:val="000000"/>
        </w:rPr>
        <w:t>江苏省测土配方施肥协会</w:t>
      </w:r>
      <w:r>
        <w:rPr>
          <w:color w:val="000000"/>
        </w:rPr>
        <w:t>提出</w:t>
      </w:r>
      <w:r>
        <w:rPr>
          <w:rFonts w:hint="eastAsia"/>
          <w:color w:val="000000"/>
        </w:rPr>
        <w:t>并</w:t>
      </w:r>
      <w:r>
        <w:rPr>
          <w:color w:val="000000"/>
        </w:rPr>
        <w:t>归口。</w:t>
      </w:r>
    </w:p>
    <w:p w14:paraId="7F4F71A8" w14:textId="2D965DF2" w:rsidR="00A91A4A" w:rsidRDefault="00670D99">
      <w:pPr>
        <w:pStyle w:val="a8"/>
        <w:rPr>
          <w:rFonts w:hint="eastAsia"/>
          <w:color w:val="000000"/>
        </w:rPr>
      </w:pPr>
      <w:r>
        <w:rPr>
          <w:rFonts w:hint="eastAsia"/>
          <w:color w:val="000000"/>
        </w:rPr>
        <w:t>本标准起草单位：</w:t>
      </w:r>
      <w:r w:rsidR="003C422F" w:rsidRPr="003C422F">
        <w:t>南京农业大学</w:t>
      </w:r>
      <w:r w:rsidR="0030154D">
        <w:rPr>
          <w:rFonts w:hint="eastAsia"/>
        </w:rPr>
        <w:t>、</w:t>
      </w:r>
      <w:r w:rsidR="0030154D" w:rsidRPr="0030154D">
        <w:t>扬州市耕地质量保护站、江苏省耕地质量与农业环境保护站、宿迁市宿豫区农业技术综合服务中心、如皋市农业技术推广中心</w:t>
      </w:r>
      <w:r w:rsidR="0030154D">
        <w:rPr>
          <w:rFonts w:hint="eastAsia"/>
        </w:rPr>
        <w:t>。</w:t>
      </w:r>
    </w:p>
    <w:p w14:paraId="25C832AB" w14:textId="03333DA1" w:rsidR="00A91A4A" w:rsidRDefault="00670D99">
      <w:pPr>
        <w:pStyle w:val="a8"/>
        <w:rPr>
          <w:rFonts w:hint="eastAsia"/>
          <w:color w:val="000000"/>
        </w:rPr>
      </w:pPr>
      <w:r>
        <w:rPr>
          <w:rFonts w:hint="eastAsia"/>
          <w:color w:val="000000"/>
        </w:rPr>
        <w:t>本标准主要起草人：</w:t>
      </w:r>
      <w:r w:rsidR="003C422F" w:rsidRPr="003C422F">
        <w:t>郭世伟、王敏</w:t>
      </w:r>
      <w:r w:rsidR="0038692D">
        <w:rPr>
          <w:rFonts w:hint="eastAsia"/>
        </w:rPr>
        <w:t>、毛伟、张莹、黄建、靳辉勇、</w:t>
      </w:r>
      <w:r w:rsidR="0038692D" w:rsidRPr="0038692D">
        <w:t>阚建鸾</w:t>
      </w:r>
      <w:r w:rsidR="0038692D">
        <w:rPr>
          <w:rFonts w:hint="eastAsia"/>
        </w:rPr>
        <w:t>。</w:t>
      </w:r>
    </w:p>
    <w:p w14:paraId="0C4C8EAF" w14:textId="488B383F" w:rsidR="00A91A4A" w:rsidRDefault="0038692D">
      <w:pPr>
        <w:pStyle w:val="a9"/>
      </w:pPr>
      <w:r w:rsidRPr="0038692D">
        <w:lastRenderedPageBreak/>
        <w:t>水稻轻简化覆膜节水与养分控施高效利用技术规程</w:t>
      </w:r>
    </w:p>
    <w:p w14:paraId="700A8AC4" w14:textId="77777777" w:rsidR="00A91A4A" w:rsidRDefault="00670D99">
      <w:pPr>
        <w:pStyle w:val="a"/>
      </w:pPr>
      <w:r>
        <w:rPr>
          <w:rFonts w:hint="eastAsia"/>
        </w:rPr>
        <w:t>范围</w:t>
      </w:r>
    </w:p>
    <w:p w14:paraId="5F7A6E13" w14:textId="037707B7" w:rsidR="00A91A4A" w:rsidRDefault="00670D99">
      <w:pPr>
        <w:pStyle w:val="a8"/>
      </w:pPr>
      <w:r>
        <w:rPr>
          <w:rFonts w:hint="eastAsia"/>
        </w:rPr>
        <w:t>本文件确立了</w:t>
      </w:r>
      <w:r w:rsidR="003C422F">
        <w:rPr>
          <w:rFonts w:ascii="Times New Roman"/>
        </w:rPr>
        <w:t>水稻轻简化覆膜生产中育秧、整地、覆膜机插、生育期水肥管理、病虫草害防控、收获和地膜后处理等技术要求</w:t>
      </w:r>
      <w:r>
        <w:rPr>
          <w:rFonts w:hint="eastAsia"/>
        </w:rPr>
        <w:t>。</w:t>
      </w:r>
    </w:p>
    <w:p w14:paraId="76DDA5E4" w14:textId="0BF50649" w:rsidR="00A91A4A" w:rsidRDefault="00670D99">
      <w:pPr>
        <w:pStyle w:val="a8"/>
      </w:pPr>
      <w:r>
        <w:rPr>
          <w:rFonts w:hint="eastAsia"/>
        </w:rPr>
        <w:t>本文件适用于</w:t>
      </w:r>
      <w:r w:rsidR="003C422F">
        <w:rPr>
          <w:rFonts w:hint="eastAsia"/>
        </w:rPr>
        <w:t>长江中下游稻麦轮作区的水稻机插覆膜生产，</w:t>
      </w:r>
      <w:r w:rsidR="003C422F" w:rsidRPr="003C422F">
        <w:t>其他</w:t>
      </w:r>
      <w:r w:rsidR="003C422F">
        <w:rPr>
          <w:rFonts w:hint="eastAsia"/>
        </w:rPr>
        <w:t>生态环境相似</w:t>
      </w:r>
      <w:r w:rsidR="003C422F" w:rsidRPr="003C422F">
        <w:t>地区可参照执行</w:t>
      </w:r>
      <w:r>
        <w:rPr>
          <w:rFonts w:hint="eastAsia"/>
        </w:rPr>
        <w:t>。</w:t>
      </w:r>
    </w:p>
    <w:p w14:paraId="3032179C" w14:textId="77777777" w:rsidR="00A91A4A" w:rsidRDefault="00670D99">
      <w:pPr>
        <w:pStyle w:val="a"/>
      </w:pPr>
      <w:r>
        <w:rPr>
          <w:rFonts w:hint="eastAsia"/>
        </w:rPr>
        <w:t>规范性引用文件</w:t>
      </w:r>
    </w:p>
    <w:p w14:paraId="0CC09836" w14:textId="77777777" w:rsidR="00A91A4A" w:rsidRDefault="00670D99">
      <w:pPr>
        <w:pStyle w:val="a8"/>
        <w:adjustRightInd w:val="0"/>
        <w:snapToGrid w:val="0"/>
        <w:rPr>
          <w:rFonts w:ascii="Times New Roman"/>
        </w:rPr>
      </w:pPr>
      <w:r>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0A53903" w14:textId="2487A56C" w:rsidR="003C422F" w:rsidRDefault="003C422F" w:rsidP="003C422F">
      <w:pPr>
        <w:pStyle w:val="a8"/>
        <w:adjustRightInd w:val="0"/>
        <w:snapToGrid w:val="0"/>
      </w:pPr>
      <w:r>
        <w:rPr>
          <w:rFonts w:hint="eastAsia"/>
        </w:rPr>
        <w:t>GB 4404.1  粮食作物种子  第1部分：禾谷类</w:t>
      </w:r>
    </w:p>
    <w:p w14:paraId="3D890334" w14:textId="77777777" w:rsidR="003C422F" w:rsidRDefault="003C422F" w:rsidP="003C422F">
      <w:pPr>
        <w:pStyle w:val="a8"/>
        <w:adjustRightInd w:val="0"/>
        <w:snapToGrid w:val="0"/>
      </w:pPr>
      <w:r>
        <w:rPr>
          <w:rFonts w:hint="eastAsia"/>
        </w:rPr>
        <w:t>GB 5084  农田灌溉水质标准</w:t>
      </w:r>
    </w:p>
    <w:p w14:paraId="4C4CB6EF" w14:textId="77777777" w:rsidR="003C422F" w:rsidRDefault="003C422F" w:rsidP="003C422F">
      <w:pPr>
        <w:pStyle w:val="a8"/>
        <w:adjustRightInd w:val="0"/>
        <w:snapToGrid w:val="0"/>
      </w:pPr>
      <w:r>
        <w:rPr>
          <w:rFonts w:hint="eastAsia"/>
        </w:rPr>
        <w:t>GB/T 21633  掺混肥料（BB肥）</w:t>
      </w:r>
    </w:p>
    <w:p w14:paraId="3612CEE2" w14:textId="77777777" w:rsidR="003C422F" w:rsidRDefault="003C422F" w:rsidP="003C422F">
      <w:pPr>
        <w:pStyle w:val="a8"/>
        <w:adjustRightInd w:val="0"/>
        <w:snapToGrid w:val="0"/>
      </w:pPr>
      <w:r>
        <w:rPr>
          <w:rFonts w:hint="eastAsia"/>
        </w:rPr>
        <w:t>GB/T 23348  缓释肥料</w:t>
      </w:r>
    </w:p>
    <w:p w14:paraId="0A9788B3" w14:textId="087673B1" w:rsidR="003C422F" w:rsidRDefault="003C422F" w:rsidP="003C422F">
      <w:pPr>
        <w:pStyle w:val="a8"/>
        <w:adjustRightInd w:val="0"/>
        <w:snapToGrid w:val="0"/>
      </w:pPr>
      <w:r>
        <w:rPr>
          <w:rFonts w:hint="eastAsia"/>
        </w:rPr>
        <w:t>GB/T 35795  全生物降解农用地面覆盖薄膜</w:t>
      </w:r>
    </w:p>
    <w:p w14:paraId="7263F146" w14:textId="77777777" w:rsidR="003C422F" w:rsidRDefault="003C422F" w:rsidP="003C422F">
      <w:pPr>
        <w:pStyle w:val="a8"/>
        <w:adjustRightInd w:val="0"/>
        <w:snapToGrid w:val="0"/>
      </w:pPr>
      <w:r>
        <w:rPr>
          <w:rFonts w:hint="eastAsia"/>
        </w:rPr>
        <w:t>NY/T 496  肥料合理使用准则  通则</w:t>
      </w:r>
    </w:p>
    <w:p w14:paraId="7F2BF7BF" w14:textId="77777777" w:rsidR="003C422F" w:rsidRDefault="003C422F" w:rsidP="003C422F">
      <w:pPr>
        <w:pStyle w:val="a8"/>
        <w:adjustRightInd w:val="0"/>
        <w:snapToGrid w:val="0"/>
      </w:pPr>
      <w:r>
        <w:rPr>
          <w:rFonts w:hint="eastAsia"/>
        </w:rPr>
        <w:t>NY/T 1276  农药安全使用规范  总则</w:t>
      </w:r>
    </w:p>
    <w:p w14:paraId="54CC5B30" w14:textId="77777777" w:rsidR="003C422F" w:rsidRDefault="003C422F" w:rsidP="003C422F">
      <w:pPr>
        <w:pStyle w:val="a8"/>
        <w:adjustRightInd w:val="0"/>
        <w:snapToGrid w:val="0"/>
      </w:pPr>
      <w:r>
        <w:rPr>
          <w:rFonts w:hint="eastAsia"/>
        </w:rPr>
        <w:t>NY/T 2192  水稻机插秧作业技术规范</w:t>
      </w:r>
    </w:p>
    <w:p w14:paraId="3ED32391" w14:textId="77777777" w:rsidR="003C422F" w:rsidRDefault="003C422F" w:rsidP="003C422F">
      <w:pPr>
        <w:pStyle w:val="a8"/>
        <w:adjustRightInd w:val="0"/>
        <w:snapToGrid w:val="0"/>
      </w:pPr>
      <w:r>
        <w:rPr>
          <w:rFonts w:hint="eastAsia"/>
        </w:rPr>
        <w:t>NY/T 2911  测土配方施肥技术规程</w:t>
      </w:r>
    </w:p>
    <w:p w14:paraId="4508576E" w14:textId="4340FC22" w:rsidR="003C422F" w:rsidRDefault="003C422F" w:rsidP="003C422F">
      <w:pPr>
        <w:pStyle w:val="a8"/>
        <w:adjustRightInd w:val="0"/>
        <w:snapToGrid w:val="0"/>
      </w:pPr>
      <w:r>
        <w:rPr>
          <w:rFonts w:hint="eastAsia"/>
        </w:rPr>
        <w:t>NY/T 4540  生物降解地膜覆盖机插水稻生产技术规范</w:t>
      </w:r>
    </w:p>
    <w:p w14:paraId="539C0F9B" w14:textId="2F156BFC" w:rsidR="00A91A4A" w:rsidRDefault="003C422F" w:rsidP="003C422F">
      <w:pPr>
        <w:pStyle w:val="a8"/>
        <w:adjustRightInd w:val="0"/>
        <w:snapToGrid w:val="0"/>
      </w:pPr>
      <w:r>
        <w:rPr>
          <w:rFonts w:hint="eastAsia"/>
        </w:rPr>
        <w:t>NY/T 4816  主要粮食作物化肥合理施用技术规范</w:t>
      </w:r>
    </w:p>
    <w:p w14:paraId="250F8BCC" w14:textId="77777777" w:rsidR="00A91A4A" w:rsidRDefault="00670D99">
      <w:pPr>
        <w:pStyle w:val="a"/>
        <w:numPr>
          <w:ilvl w:val="0"/>
          <w:numId w:val="0"/>
        </w:numPr>
      </w:pPr>
      <w:r>
        <w:rPr>
          <w:rFonts w:hint="eastAsia"/>
        </w:rPr>
        <w:t>3  术语和定义</w:t>
      </w:r>
    </w:p>
    <w:p w14:paraId="6072C675" w14:textId="77777777" w:rsidR="00A91A4A" w:rsidRDefault="00670D99" w:rsidP="00937D47">
      <w:pPr>
        <w:pStyle w:val="a8"/>
        <w:spacing w:line="600" w:lineRule="exact"/>
        <w:ind w:firstLineChars="0" w:firstLine="0"/>
        <w:rPr>
          <w:rFonts w:hAnsi="宋体" w:cs="宋体" w:hint="eastAsia"/>
          <w:szCs w:val="21"/>
        </w:rPr>
      </w:pPr>
      <w:r>
        <w:rPr>
          <w:rFonts w:hAnsi="宋体" w:cs="宋体" w:hint="eastAsia"/>
          <w:szCs w:val="21"/>
        </w:rPr>
        <w:t>下列术语和定义适用于本文件。</w:t>
      </w:r>
    </w:p>
    <w:p w14:paraId="2E345CEF" w14:textId="77777777" w:rsidR="00A91A4A" w:rsidRDefault="00670D99">
      <w:pPr>
        <w:pStyle w:val="a8"/>
        <w:ind w:firstLineChars="0" w:firstLine="0"/>
        <w:rPr>
          <w:rFonts w:ascii="黑体" w:eastAsia="黑体" w:hAnsi="黑体" w:cs="黑体" w:hint="eastAsia"/>
          <w:szCs w:val="21"/>
        </w:rPr>
      </w:pPr>
      <w:r>
        <w:rPr>
          <w:rFonts w:ascii="黑体" w:eastAsia="黑体" w:hAnsi="黑体" w:cs="黑体" w:hint="eastAsia"/>
          <w:szCs w:val="21"/>
        </w:rPr>
        <w:t xml:space="preserve">3.1 </w:t>
      </w:r>
    </w:p>
    <w:p w14:paraId="29DDFBEA" w14:textId="753D4B98" w:rsidR="00A91A4A" w:rsidRDefault="00670D99">
      <w:pPr>
        <w:pStyle w:val="a8"/>
        <w:ind w:firstLineChars="0" w:firstLine="0"/>
        <w:rPr>
          <w:rFonts w:ascii="黑体" w:eastAsia="黑体" w:hAnsi="黑体" w:cs="黑体" w:hint="eastAsia"/>
          <w:szCs w:val="21"/>
        </w:rPr>
      </w:pPr>
      <w:r>
        <w:rPr>
          <w:rFonts w:ascii="黑体" w:eastAsia="黑体" w:hAnsi="黑体" w:cs="黑体" w:hint="eastAsia"/>
          <w:szCs w:val="21"/>
        </w:rPr>
        <w:t xml:space="preserve">    </w:t>
      </w:r>
      <w:r w:rsidR="003C422F" w:rsidRPr="003C422F">
        <w:rPr>
          <w:rFonts w:ascii="黑体" w:eastAsia="黑体" w:hAnsi="黑体" w:cs="黑体"/>
          <w:szCs w:val="21"/>
        </w:rPr>
        <w:t>生物降解地膜  biodegradable mulching film</w:t>
      </w:r>
    </w:p>
    <w:p w14:paraId="44161799" w14:textId="702EF678" w:rsidR="00A91A4A" w:rsidRDefault="003C422F">
      <w:pPr>
        <w:pStyle w:val="a8"/>
        <w:rPr>
          <w:rFonts w:hAnsi="宋体" w:cs="宋体" w:hint="eastAsia"/>
          <w:szCs w:val="21"/>
        </w:rPr>
      </w:pPr>
      <w:r w:rsidRPr="003C422F">
        <w:rPr>
          <w:rFonts w:hAnsi="宋体" w:cs="宋体"/>
          <w:szCs w:val="21"/>
        </w:rPr>
        <w:t>以全生物降解材料为主要原料制备，用于水稻种植时土壤表面覆盖，并能在自然条件下最终降解为二氧化碳、水、矿化无机盐以及新的生物质的农用薄膜。</w:t>
      </w:r>
    </w:p>
    <w:p w14:paraId="1800CC82" w14:textId="76242E9A" w:rsidR="00B91B6C" w:rsidRDefault="00B91B6C" w:rsidP="00B91B6C">
      <w:pPr>
        <w:pStyle w:val="a8"/>
        <w:ind w:firstLineChars="0" w:firstLine="0"/>
        <w:rPr>
          <w:rFonts w:ascii="黑体" w:eastAsia="黑体" w:hAnsi="黑体" w:cs="黑体" w:hint="eastAsia"/>
          <w:szCs w:val="21"/>
        </w:rPr>
      </w:pPr>
      <w:r>
        <w:rPr>
          <w:rFonts w:ascii="黑体" w:eastAsia="黑体" w:hAnsi="黑体" w:cs="黑体" w:hint="eastAsia"/>
          <w:szCs w:val="21"/>
        </w:rPr>
        <w:t xml:space="preserve">3.2 </w:t>
      </w:r>
    </w:p>
    <w:p w14:paraId="71B2527E" w14:textId="07FAFA84" w:rsidR="00B91B6C" w:rsidRDefault="00B91B6C" w:rsidP="00B91B6C">
      <w:pPr>
        <w:pStyle w:val="a8"/>
        <w:ind w:firstLineChars="0" w:firstLine="0"/>
        <w:rPr>
          <w:rFonts w:ascii="黑体" w:eastAsia="黑体" w:hAnsi="黑体" w:cs="黑体" w:hint="eastAsia"/>
          <w:szCs w:val="21"/>
        </w:rPr>
      </w:pPr>
      <w:r>
        <w:rPr>
          <w:rFonts w:ascii="黑体" w:eastAsia="黑体" w:hAnsi="黑体" w:cs="黑体" w:hint="eastAsia"/>
          <w:szCs w:val="21"/>
        </w:rPr>
        <w:t xml:space="preserve">    </w:t>
      </w:r>
      <w:r w:rsidRPr="00B91B6C">
        <w:rPr>
          <w:rFonts w:ascii="黑体" w:eastAsia="黑体" w:hAnsi="黑体" w:cs="黑体"/>
          <w:szCs w:val="21"/>
        </w:rPr>
        <w:t>缓释掺混肥料  slow-release bulk blended fertilizer</w:t>
      </w:r>
    </w:p>
    <w:p w14:paraId="61139F9C" w14:textId="4C8186DC" w:rsidR="00B91B6C" w:rsidRDefault="00B91B6C" w:rsidP="00B91B6C">
      <w:pPr>
        <w:pStyle w:val="a8"/>
        <w:rPr>
          <w:rFonts w:hAnsi="宋体" w:cs="宋体" w:hint="eastAsia"/>
          <w:szCs w:val="21"/>
        </w:rPr>
      </w:pPr>
      <w:r w:rsidRPr="00B91B6C">
        <w:rPr>
          <w:rFonts w:hAnsi="宋体" w:cs="宋体"/>
          <w:szCs w:val="21"/>
        </w:rPr>
        <w:t>缓释掺混肥料</w:t>
      </w:r>
      <w:r>
        <w:rPr>
          <w:rFonts w:hAnsi="宋体" w:cs="宋体" w:hint="eastAsia"/>
          <w:szCs w:val="21"/>
        </w:rPr>
        <w:t>是</w:t>
      </w:r>
      <w:r w:rsidRPr="00B91B6C">
        <w:rPr>
          <w:rFonts w:hAnsi="宋体" w:cs="宋体"/>
          <w:szCs w:val="21"/>
        </w:rPr>
        <w:t>将缓释肥料（如包膜尿素、脲醛肥料等）与常规氮、磷、钾肥料按一定比例混合制成，通过缓释技术控制养分释放速度，使其与</w:t>
      </w:r>
      <w:r>
        <w:rPr>
          <w:rFonts w:hAnsi="宋体" w:cs="宋体" w:hint="eastAsia"/>
          <w:szCs w:val="21"/>
        </w:rPr>
        <w:t>水稻</w:t>
      </w:r>
      <w:r w:rsidRPr="00B91B6C">
        <w:rPr>
          <w:rFonts w:hAnsi="宋体" w:cs="宋体"/>
          <w:szCs w:val="21"/>
        </w:rPr>
        <w:t>生长需求相匹配</w:t>
      </w:r>
      <w:r>
        <w:rPr>
          <w:rFonts w:hAnsi="宋体" w:cs="宋体" w:hint="eastAsia"/>
          <w:szCs w:val="21"/>
        </w:rPr>
        <w:t>的一类</w:t>
      </w:r>
      <w:r w:rsidRPr="00B91B6C">
        <w:rPr>
          <w:rFonts w:hAnsi="宋体" w:cs="宋体"/>
          <w:szCs w:val="21"/>
        </w:rPr>
        <w:t>颗粒状肥料。</w:t>
      </w:r>
    </w:p>
    <w:p w14:paraId="13635735" w14:textId="498CE35C" w:rsidR="00B91B6C" w:rsidRDefault="00B91B6C" w:rsidP="00B91B6C">
      <w:pPr>
        <w:pStyle w:val="a8"/>
        <w:ind w:firstLineChars="0" w:firstLine="0"/>
        <w:rPr>
          <w:rFonts w:ascii="黑体" w:eastAsia="黑体" w:hAnsi="黑体" w:cs="黑体" w:hint="eastAsia"/>
          <w:szCs w:val="21"/>
        </w:rPr>
      </w:pPr>
      <w:r>
        <w:rPr>
          <w:rFonts w:ascii="黑体" w:eastAsia="黑体" w:hAnsi="黑体" w:cs="黑体" w:hint="eastAsia"/>
          <w:szCs w:val="21"/>
        </w:rPr>
        <w:t xml:space="preserve">3.3 </w:t>
      </w:r>
    </w:p>
    <w:p w14:paraId="65154606" w14:textId="2C43078E" w:rsidR="00B91B6C" w:rsidRDefault="00B91B6C" w:rsidP="00B91B6C">
      <w:pPr>
        <w:pStyle w:val="a8"/>
        <w:ind w:firstLineChars="0" w:firstLine="0"/>
        <w:rPr>
          <w:rFonts w:ascii="黑体" w:eastAsia="黑体" w:hAnsi="黑体" w:cs="黑体" w:hint="eastAsia"/>
          <w:szCs w:val="21"/>
        </w:rPr>
      </w:pPr>
      <w:r>
        <w:rPr>
          <w:rFonts w:ascii="黑体" w:eastAsia="黑体" w:hAnsi="黑体" w:cs="黑体" w:hint="eastAsia"/>
          <w:szCs w:val="21"/>
        </w:rPr>
        <w:t xml:space="preserve">    </w:t>
      </w:r>
      <w:r w:rsidRPr="00B91B6C">
        <w:rPr>
          <w:rFonts w:ascii="黑体" w:eastAsia="黑体" w:hAnsi="黑体" w:cs="黑体"/>
          <w:szCs w:val="21"/>
        </w:rPr>
        <w:t>养分控施  controlled nutrient application</w:t>
      </w:r>
    </w:p>
    <w:p w14:paraId="7C2C2FBD" w14:textId="6F835837" w:rsidR="00B91B6C" w:rsidRDefault="009A5BD9" w:rsidP="00B91B6C">
      <w:pPr>
        <w:pStyle w:val="a8"/>
        <w:rPr>
          <w:rFonts w:hAnsi="宋体" w:cs="宋体" w:hint="eastAsia"/>
          <w:szCs w:val="21"/>
        </w:rPr>
      </w:pPr>
      <w:r w:rsidRPr="009A5BD9">
        <w:rPr>
          <w:rFonts w:hAnsi="宋体" w:cs="宋体"/>
          <w:szCs w:val="21"/>
        </w:rPr>
        <w:t>依据目标产量、土壤供肥能力和水稻需肥规律，以缓释掺混肥料作底肥，并根据生育期苗情诊断补肥的施肥方式。</w:t>
      </w:r>
    </w:p>
    <w:p w14:paraId="241C0315" w14:textId="6C876251" w:rsidR="009A5BD9" w:rsidRDefault="009A5BD9" w:rsidP="009A5BD9">
      <w:pPr>
        <w:pStyle w:val="a8"/>
        <w:ind w:firstLineChars="0" w:firstLine="0"/>
        <w:rPr>
          <w:rFonts w:ascii="黑体" w:eastAsia="黑体" w:hAnsi="黑体" w:cs="黑体" w:hint="eastAsia"/>
          <w:szCs w:val="21"/>
        </w:rPr>
      </w:pPr>
      <w:r>
        <w:rPr>
          <w:rFonts w:ascii="黑体" w:eastAsia="黑体" w:hAnsi="黑体" w:cs="黑体" w:hint="eastAsia"/>
          <w:szCs w:val="21"/>
        </w:rPr>
        <w:lastRenderedPageBreak/>
        <w:t xml:space="preserve">3.4 </w:t>
      </w:r>
    </w:p>
    <w:p w14:paraId="61AF114C" w14:textId="3BC18E36" w:rsidR="009A5BD9" w:rsidRDefault="009A5BD9" w:rsidP="009A5BD9">
      <w:pPr>
        <w:pStyle w:val="a8"/>
        <w:ind w:firstLineChars="0" w:firstLine="0"/>
        <w:rPr>
          <w:rFonts w:ascii="黑体" w:eastAsia="黑体" w:hAnsi="黑体" w:cs="黑体" w:hint="eastAsia"/>
          <w:szCs w:val="21"/>
        </w:rPr>
      </w:pPr>
      <w:r>
        <w:rPr>
          <w:rFonts w:ascii="黑体" w:eastAsia="黑体" w:hAnsi="黑体" w:cs="黑体" w:hint="eastAsia"/>
          <w:szCs w:val="21"/>
        </w:rPr>
        <w:t xml:space="preserve">    </w:t>
      </w:r>
      <w:r w:rsidRPr="009A5BD9">
        <w:rPr>
          <w:rFonts w:ascii="黑体" w:eastAsia="黑体" w:hAnsi="黑体" w:cs="黑体"/>
          <w:szCs w:val="21"/>
        </w:rPr>
        <w:t>节水灌溉  water-saving irrigation</w:t>
      </w:r>
    </w:p>
    <w:p w14:paraId="14377431" w14:textId="1DC44ECD" w:rsidR="009A5BD9" w:rsidRDefault="009A5BD9" w:rsidP="009A5BD9">
      <w:pPr>
        <w:pStyle w:val="a8"/>
        <w:rPr>
          <w:rFonts w:hAnsi="宋体" w:cs="宋体" w:hint="eastAsia"/>
          <w:szCs w:val="21"/>
        </w:rPr>
      </w:pPr>
      <w:r w:rsidRPr="009A5BD9">
        <w:rPr>
          <w:rFonts w:hAnsi="宋体" w:cs="宋体"/>
          <w:szCs w:val="21"/>
        </w:rPr>
        <w:t>根据水稻生育期需水规律、降水、土壤墒情和地膜覆盖状况，采用浅水、湿润和干湿交替等方式减少灌溉用水的管理措施。</w:t>
      </w:r>
    </w:p>
    <w:p w14:paraId="3B2D7D59" w14:textId="3D1F5CD0" w:rsidR="009A5BD9" w:rsidRDefault="009A5BD9" w:rsidP="009A5BD9">
      <w:pPr>
        <w:pStyle w:val="a"/>
        <w:numPr>
          <w:ilvl w:val="0"/>
          <w:numId w:val="0"/>
        </w:numPr>
      </w:pPr>
      <w:r>
        <w:rPr>
          <w:rFonts w:hint="eastAsia"/>
        </w:rPr>
        <w:t>4  总体要求</w:t>
      </w:r>
    </w:p>
    <w:p w14:paraId="6EA028D6" w14:textId="114B89FD" w:rsidR="009A5BD9" w:rsidRPr="009A5BD9" w:rsidRDefault="009A5BD9" w:rsidP="009A5BD9">
      <w:pPr>
        <w:pStyle w:val="a8"/>
        <w:rPr>
          <w:rFonts w:hAnsi="宋体" w:cs="宋体" w:hint="eastAsia"/>
          <w:szCs w:val="21"/>
        </w:rPr>
      </w:pPr>
      <w:r w:rsidRPr="009A5BD9">
        <w:rPr>
          <w:rFonts w:hAnsi="宋体" w:cs="宋体"/>
          <w:szCs w:val="21"/>
        </w:rPr>
        <w:t>应选择地势平坦、排灌方便且适宜机械作业的田块，统筹品种生育期、地膜覆盖有效期、肥料释放期和灌溉条件确定生产方案。灌溉水质应符合GB 5084的规定。</w:t>
      </w:r>
    </w:p>
    <w:p w14:paraId="7DE9DB81" w14:textId="22B505EB" w:rsidR="009A5BD9" w:rsidRPr="00387CC3" w:rsidRDefault="009A5BD9" w:rsidP="00387CC3">
      <w:pPr>
        <w:pStyle w:val="a8"/>
        <w:spacing w:beforeLines="100" w:before="312"/>
        <w:ind w:firstLineChars="0" w:firstLine="0"/>
        <w:rPr>
          <w:rFonts w:ascii="黑体" w:eastAsia="黑体" w:hAnsi="黑体" w:cs="黑体" w:hint="eastAsia"/>
          <w:szCs w:val="21"/>
        </w:rPr>
      </w:pPr>
      <w:r w:rsidRPr="00387CC3">
        <w:rPr>
          <w:rFonts w:ascii="黑体" w:eastAsia="黑体" w:hAnsi="黑体" w:cs="黑体" w:hint="eastAsia"/>
          <w:szCs w:val="21"/>
        </w:rPr>
        <w:t xml:space="preserve">4.1 </w:t>
      </w:r>
      <w:r w:rsidRPr="00387CC3">
        <w:rPr>
          <w:rFonts w:ascii="黑体" w:eastAsia="黑体" w:hAnsi="黑体" w:cs="黑体"/>
          <w:szCs w:val="21"/>
        </w:rPr>
        <w:t>种子</w:t>
      </w:r>
      <w:r w:rsidR="00387CC3" w:rsidRPr="00387CC3">
        <w:rPr>
          <w:rFonts w:ascii="黑体" w:eastAsia="黑体" w:hAnsi="黑体" w:cs="黑体" w:hint="eastAsia"/>
          <w:szCs w:val="21"/>
        </w:rPr>
        <w:t>要求</w:t>
      </w:r>
    </w:p>
    <w:p w14:paraId="0F96CC8B" w14:textId="4512EFC8" w:rsidR="009A5BD9" w:rsidRDefault="00387CC3" w:rsidP="00387CC3">
      <w:pPr>
        <w:pStyle w:val="a8"/>
        <w:spacing w:beforeLines="100" w:before="312"/>
        <w:rPr>
          <w:rFonts w:hAnsi="宋体" w:cs="宋体" w:hint="eastAsia"/>
          <w:szCs w:val="21"/>
        </w:rPr>
      </w:pPr>
      <w:r w:rsidRPr="00387CC3">
        <w:rPr>
          <w:rFonts w:hAnsi="宋体" w:cs="宋体"/>
          <w:szCs w:val="21"/>
        </w:rPr>
        <w:t>应选择适合当地种植的优质、高产、抗病、抗倒伏、生育期适宜的优良品种</w:t>
      </w:r>
      <w:r w:rsidR="009A5BD9" w:rsidRPr="009A5BD9">
        <w:rPr>
          <w:rFonts w:hAnsi="宋体" w:cs="宋体"/>
          <w:szCs w:val="21"/>
        </w:rPr>
        <w:t>，种子质量应符合GB 4404.1。</w:t>
      </w:r>
    </w:p>
    <w:p w14:paraId="572F7B80" w14:textId="6BFEA5B2" w:rsidR="00387CC3" w:rsidRPr="00387CC3" w:rsidRDefault="00387CC3" w:rsidP="00387CC3">
      <w:pPr>
        <w:pStyle w:val="a8"/>
        <w:spacing w:beforeLines="100" w:before="312"/>
        <w:ind w:firstLineChars="0" w:firstLine="0"/>
        <w:rPr>
          <w:rFonts w:ascii="黑体" w:eastAsia="黑体" w:hAnsi="黑体" w:cs="黑体" w:hint="eastAsia"/>
          <w:szCs w:val="21"/>
        </w:rPr>
      </w:pPr>
      <w:r w:rsidRPr="00387CC3">
        <w:rPr>
          <w:rFonts w:ascii="黑体" w:eastAsia="黑体" w:hAnsi="黑体" w:cs="黑体" w:hint="eastAsia"/>
          <w:szCs w:val="21"/>
        </w:rPr>
        <w:t>4.</w:t>
      </w:r>
      <w:r>
        <w:rPr>
          <w:rFonts w:ascii="黑体" w:eastAsia="黑体" w:hAnsi="黑体" w:cs="黑体" w:hint="eastAsia"/>
          <w:szCs w:val="21"/>
        </w:rPr>
        <w:t>2</w:t>
      </w:r>
      <w:r w:rsidRPr="00387CC3">
        <w:rPr>
          <w:rFonts w:ascii="黑体" w:eastAsia="黑体" w:hAnsi="黑体" w:cs="黑体" w:hint="eastAsia"/>
          <w:szCs w:val="21"/>
        </w:rPr>
        <w:t xml:space="preserve"> </w:t>
      </w:r>
      <w:r w:rsidRPr="00387CC3">
        <w:rPr>
          <w:rFonts w:ascii="黑体" w:eastAsia="黑体" w:hAnsi="黑体" w:cs="黑体"/>
          <w:szCs w:val="21"/>
        </w:rPr>
        <w:t>地膜和肥料</w:t>
      </w:r>
      <w:r>
        <w:rPr>
          <w:rFonts w:ascii="黑体" w:eastAsia="黑体" w:hAnsi="黑体" w:cs="黑体" w:hint="eastAsia"/>
          <w:szCs w:val="21"/>
        </w:rPr>
        <w:t>要求</w:t>
      </w:r>
    </w:p>
    <w:p w14:paraId="53A1D4DC" w14:textId="674CCD8C" w:rsidR="00387CC3" w:rsidRDefault="00387CC3" w:rsidP="00387CC3">
      <w:pPr>
        <w:pStyle w:val="a8"/>
        <w:spacing w:beforeLines="100" w:before="312"/>
        <w:rPr>
          <w:rFonts w:hAnsi="宋体" w:cs="宋体" w:hint="eastAsia"/>
          <w:szCs w:val="21"/>
        </w:rPr>
      </w:pPr>
      <w:r w:rsidRPr="00387CC3">
        <w:rPr>
          <w:rFonts w:hAnsi="宋体" w:cs="宋体"/>
          <w:szCs w:val="21"/>
        </w:rPr>
        <w:t>生物降解地膜应符合GB/T 35795，宜选黑色、厚度不小于0.010 mm且功能期不少于60 d的产品，幅宽和力学性能应满足机械铺膜要求。缓释掺混肥料应符合GB/T 21633，其中缓释肥料应符合GB/T 23348；养分配比、缓释氮比例及释放期应与目标产量、土壤供肥能力和水稻生育期匹配。</w:t>
      </w:r>
    </w:p>
    <w:p w14:paraId="0F54804B" w14:textId="098774D1" w:rsidR="00387CC3" w:rsidRPr="00387CC3" w:rsidRDefault="00387CC3" w:rsidP="00387CC3">
      <w:pPr>
        <w:pStyle w:val="a8"/>
        <w:spacing w:beforeLines="100" w:before="312"/>
        <w:ind w:firstLineChars="0" w:firstLine="0"/>
        <w:rPr>
          <w:rFonts w:ascii="黑体" w:eastAsia="黑体" w:hAnsi="黑体" w:cs="黑体" w:hint="eastAsia"/>
          <w:szCs w:val="21"/>
        </w:rPr>
      </w:pPr>
      <w:r w:rsidRPr="00387CC3">
        <w:rPr>
          <w:rFonts w:ascii="黑体" w:eastAsia="黑体" w:hAnsi="黑体" w:cs="黑体" w:hint="eastAsia"/>
          <w:szCs w:val="21"/>
        </w:rPr>
        <w:t>4.</w:t>
      </w:r>
      <w:r>
        <w:rPr>
          <w:rFonts w:ascii="黑体" w:eastAsia="黑体" w:hAnsi="黑体" w:cs="黑体" w:hint="eastAsia"/>
          <w:szCs w:val="21"/>
        </w:rPr>
        <w:t>3</w:t>
      </w:r>
      <w:r w:rsidRPr="00387CC3">
        <w:rPr>
          <w:rFonts w:ascii="黑体" w:eastAsia="黑体" w:hAnsi="黑体" w:cs="黑体" w:hint="eastAsia"/>
          <w:szCs w:val="21"/>
        </w:rPr>
        <w:t xml:space="preserve"> </w:t>
      </w:r>
      <w:r w:rsidRPr="00387CC3">
        <w:rPr>
          <w:rFonts w:ascii="黑体" w:eastAsia="黑体" w:hAnsi="黑体" w:cs="黑体"/>
          <w:szCs w:val="21"/>
        </w:rPr>
        <w:t>机械要求</w:t>
      </w:r>
    </w:p>
    <w:p w14:paraId="136FBB16" w14:textId="560F95AD" w:rsidR="003C422F" w:rsidRDefault="00937D47" w:rsidP="00387CC3">
      <w:pPr>
        <w:pStyle w:val="a8"/>
        <w:spacing w:beforeLines="100" w:before="312"/>
        <w:rPr>
          <w:rFonts w:hAnsi="宋体" w:cs="宋体" w:hint="eastAsia"/>
          <w:szCs w:val="21"/>
        </w:rPr>
      </w:pPr>
      <w:r w:rsidRPr="00937D47">
        <w:rPr>
          <w:rFonts w:ascii="Times New Roman"/>
        </w:rPr>
        <w:t>应配备撒肥机、旋耕机和覆膜插秧机。</w:t>
      </w:r>
      <w:r w:rsidR="00387CC3" w:rsidRPr="00387CC3">
        <w:rPr>
          <w:rFonts w:ascii="Times New Roman"/>
        </w:rPr>
        <w:t>覆膜插秧机应能</w:t>
      </w:r>
      <w:r w:rsidR="00387CC3">
        <w:rPr>
          <w:rFonts w:ascii="Times New Roman" w:hint="eastAsia"/>
        </w:rPr>
        <w:t>一次</w:t>
      </w:r>
      <w:r w:rsidR="00387CC3" w:rsidRPr="00387CC3">
        <w:rPr>
          <w:rFonts w:ascii="Times New Roman"/>
        </w:rPr>
        <w:t>完成铺膜、压膜、打孔和插秧</w:t>
      </w:r>
      <w:r w:rsidR="00387CC3">
        <w:rPr>
          <w:rFonts w:ascii="Times New Roman" w:hint="eastAsia"/>
        </w:rPr>
        <w:t>作业</w:t>
      </w:r>
      <w:r w:rsidR="00387CC3" w:rsidRPr="00387CC3">
        <w:rPr>
          <w:rFonts w:ascii="Times New Roman"/>
        </w:rPr>
        <w:t>。</w:t>
      </w:r>
    </w:p>
    <w:p w14:paraId="09079F62" w14:textId="7D5836EE" w:rsidR="00937D47" w:rsidRDefault="00937D47" w:rsidP="00937D47">
      <w:pPr>
        <w:pStyle w:val="a"/>
        <w:numPr>
          <w:ilvl w:val="0"/>
          <w:numId w:val="0"/>
        </w:numPr>
      </w:pPr>
      <w:r>
        <w:rPr>
          <w:rFonts w:hint="eastAsia"/>
        </w:rPr>
        <w:t>5  育秧与整地施肥</w:t>
      </w:r>
    </w:p>
    <w:p w14:paraId="788023E9" w14:textId="2EF760C4" w:rsidR="00937D47" w:rsidRPr="004E3660" w:rsidRDefault="00937D47" w:rsidP="004E3660">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5</w:t>
      </w:r>
      <w:r w:rsidRPr="00387CC3">
        <w:rPr>
          <w:rFonts w:ascii="黑体" w:eastAsia="黑体" w:hAnsi="黑体" w:cs="黑体" w:hint="eastAsia"/>
          <w:szCs w:val="21"/>
        </w:rPr>
        <w:t>.</w:t>
      </w:r>
      <w:r>
        <w:rPr>
          <w:rFonts w:ascii="黑体" w:eastAsia="黑体" w:hAnsi="黑体" w:cs="黑体" w:hint="eastAsia"/>
          <w:szCs w:val="21"/>
        </w:rPr>
        <w:t>1</w:t>
      </w:r>
      <w:r w:rsidRPr="00387CC3">
        <w:rPr>
          <w:rFonts w:ascii="黑体" w:eastAsia="黑体" w:hAnsi="黑体" w:cs="黑体" w:hint="eastAsia"/>
          <w:szCs w:val="21"/>
        </w:rPr>
        <w:t xml:space="preserve"> </w:t>
      </w:r>
      <w:r>
        <w:rPr>
          <w:rFonts w:ascii="黑体" w:eastAsia="黑体" w:hAnsi="黑体" w:cs="黑体" w:hint="eastAsia"/>
          <w:szCs w:val="21"/>
        </w:rPr>
        <w:t>育秧</w:t>
      </w:r>
    </w:p>
    <w:p w14:paraId="047A2B1A" w14:textId="104C7955" w:rsidR="00937D47" w:rsidRPr="009A5BD9" w:rsidRDefault="00937D47" w:rsidP="004E3660">
      <w:pPr>
        <w:pStyle w:val="a8"/>
        <w:spacing w:beforeLines="100" w:before="312"/>
        <w:rPr>
          <w:rFonts w:hAnsi="宋体" w:cs="宋体" w:hint="eastAsia"/>
          <w:szCs w:val="21"/>
        </w:rPr>
      </w:pPr>
      <w:r w:rsidRPr="00937D47">
        <w:rPr>
          <w:rFonts w:hAnsi="宋体" w:cs="宋体"/>
          <w:szCs w:val="21"/>
        </w:rPr>
        <w:t>应按适宜移栽期倒推播期，培育适合机插的毯状苗或钵毯苗。秧苗应整齐、根系盘结良好、叶色正常，无明显病虫害和药害；苗高宜为14 cm～18 cm，叶龄宜为3.5叶～4.0叶，并符合NY/T 4540的规定。</w:t>
      </w:r>
    </w:p>
    <w:p w14:paraId="15AD866A" w14:textId="77777777" w:rsidR="004E3660" w:rsidRDefault="00937D47" w:rsidP="004E3660">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5</w:t>
      </w:r>
      <w:r w:rsidRPr="00387CC3">
        <w:rPr>
          <w:rFonts w:ascii="黑体" w:eastAsia="黑体" w:hAnsi="黑体" w:cs="黑体" w:hint="eastAsia"/>
          <w:szCs w:val="21"/>
        </w:rPr>
        <w:t>.</w:t>
      </w:r>
      <w:r>
        <w:rPr>
          <w:rFonts w:ascii="黑体" w:eastAsia="黑体" w:hAnsi="黑体" w:cs="黑体" w:hint="eastAsia"/>
          <w:szCs w:val="21"/>
        </w:rPr>
        <w:t>2</w:t>
      </w:r>
      <w:r w:rsidRPr="00387CC3">
        <w:rPr>
          <w:rFonts w:ascii="黑体" w:eastAsia="黑体" w:hAnsi="黑体" w:cs="黑体" w:hint="eastAsia"/>
          <w:szCs w:val="21"/>
        </w:rPr>
        <w:t xml:space="preserve"> </w:t>
      </w:r>
      <w:r>
        <w:rPr>
          <w:rFonts w:ascii="黑体" w:eastAsia="黑体" w:hAnsi="黑体" w:cs="黑体" w:hint="eastAsia"/>
          <w:szCs w:val="21"/>
        </w:rPr>
        <w:t>整地</w:t>
      </w:r>
    </w:p>
    <w:p w14:paraId="3132ED41" w14:textId="0092A4F9" w:rsidR="00937D47" w:rsidRPr="004E3660" w:rsidRDefault="009538F5" w:rsidP="004E3660">
      <w:pPr>
        <w:pStyle w:val="a8"/>
        <w:spacing w:beforeLines="100" w:before="312"/>
        <w:rPr>
          <w:rFonts w:ascii="黑体" w:eastAsia="黑体" w:hAnsi="黑体" w:cs="黑体" w:hint="eastAsia"/>
          <w:szCs w:val="21"/>
        </w:rPr>
      </w:pPr>
      <w:r w:rsidRPr="009538F5">
        <w:rPr>
          <w:rFonts w:hAnsi="宋体" w:cs="宋体"/>
          <w:szCs w:val="21"/>
        </w:rPr>
        <w:t>整地前需清理田面残茬，秸秆需粉碎还田（长度≤10厘米）；翻耕深度控制在10</w:t>
      </w:r>
      <w:r w:rsidR="00247699" w:rsidRPr="004E3660">
        <w:rPr>
          <w:rFonts w:hAnsi="宋体" w:cs="宋体"/>
          <w:szCs w:val="21"/>
        </w:rPr>
        <w:t>～</w:t>
      </w:r>
      <w:r w:rsidRPr="009538F5">
        <w:rPr>
          <w:rFonts w:hAnsi="宋体" w:cs="宋体"/>
          <w:szCs w:val="21"/>
        </w:rPr>
        <w:t>15厘米，耙平后田面高低落差需≤3厘米，表层保留5</w:t>
      </w:r>
      <w:r w:rsidR="00247699" w:rsidRPr="004E3660">
        <w:rPr>
          <w:rFonts w:hAnsi="宋体" w:cs="宋体"/>
          <w:szCs w:val="21"/>
        </w:rPr>
        <w:t>～</w:t>
      </w:r>
      <w:r w:rsidRPr="009538F5">
        <w:rPr>
          <w:rFonts w:hAnsi="宋体" w:cs="宋体"/>
          <w:szCs w:val="21"/>
        </w:rPr>
        <w:t>7厘米泥浆层，并需充分沉淀（沙壤土沉淀1天，黏土沉淀2</w:t>
      </w:r>
      <w:r w:rsidR="00247699" w:rsidRPr="004E3660">
        <w:rPr>
          <w:rFonts w:hAnsi="宋体" w:cs="宋体"/>
          <w:szCs w:val="21"/>
        </w:rPr>
        <w:t>～</w:t>
      </w:r>
      <w:r w:rsidRPr="009538F5">
        <w:rPr>
          <w:rFonts w:hAnsi="宋体" w:cs="宋体"/>
          <w:szCs w:val="21"/>
        </w:rPr>
        <w:t>3天）以确保机插质量。</w:t>
      </w:r>
    </w:p>
    <w:p w14:paraId="0DBCF44E" w14:textId="607970C4" w:rsidR="009538F5" w:rsidRPr="00387CC3" w:rsidRDefault="009538F5" w:rsidP="009538F5">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5</w:t>
      </w:r>
      <w:r w:rsidRPr="00387CC3">
        <w:rPr>
          <w:rFonts w:ascii="黑体" w:eastAsia="黑体" w:hAnsi="黑体" w:cs="黑体" w:hint="eastAsia"/>
          <w:szCs w:val="21"/>
        </w:rPr>
        <w:t>.</w:t>
      </w:r>
      <w:r>
        <w:rPr>
          <w:rFonts w:ascii="黑体" w:eastAsia="黑体" w:hAnsi="黑体" w:cs="黑体" w:hint="eastAsia"/>
          <w:szCs w:val="21"/>
        </w:rPr>
        <w:t>3</w:t>
      </w:r>
      <w:r w:rsidRPr="00387CC3">
        <w:rPr>
          <w:rFonts w:ascii="黑体" w:eastAsia="黑体" w:hAnsi="黑体" w:cs="黑体" w:hint="eastAsia"/>
          <w:szCs w:val="21"/>
        </w:rPr>
        <w:t xml:space="preserve"> </w:t>
      </w:r>
      <w:r>
        <w:rPr>
          <w:rFonts w:ascii="黑体" w:eastAsia="黑体" w:hAnsi="黑体" w:cs="黑体" w:hint="eastAsia"/>
          <w:szCs w:val="21"/>
        </w:rPr>
        <w:t>底肥施用</w:t>
      </w:r>
    </w:p>
    <w:p w14:paraId="24F5063D" w14:textId="6E751D9C" w:rsidR="009538F5" w:rsidRDefault="009538F5" w:rsidP="009538F5">
      <w:pPr>
        <w:pStyle w:val="a8"/>
        <w:spacing w:beforeLines="100" w:before="312"/>
        <w:rPr>
          <w:rFonts w:hAnsi="宋体" w:cs="宋体" w:hint="eastAsia"/>
          <w:szCs w:val="21"/>
        </w:rPr>
      </w:pPr>
      <w:r w:rsidRPr="009538F5">
        <w:rPr>
          <w:rFonts w:hAnsi="宋体" w:cs="宋体"/>
          <w:szCs w:val="21"/>
        </w:rPr>
        <w:lastRenderedPageBreak/>
        <w:t>宜采用缓释掺混肥料，</w:t>
      </w:r>
      <w:r w:rsidR="004E3660">
        <w:rPr>
          <w:rFonts w:ascii="Times New Roman"/>
        </w:rPr>
        <w:t>依据</w:t>
      </w:r>
      <w:r w:rsidR="004E3660">
        <w:rPr>
          <w:rFonts w:ascii="Times New Roman"/>
        </w:rPr>
        <w:t>NY/T 2911</w:t>
      </w:r>
      <w:r w:rsidR="004E3660">
        <w:rPr>
          <w:rFonts w:ascii="Times New Roman"/>
        </w:rPr>
        <w:t>和</w:t>
      </w:r>
      <w:r w:rsidR="004E3660">
        <w:rPr>
          <w:rFonts w:ascii="Times New Roman"/>
        </w:rPr>
        <w:t>NY/T 4816</w:t>
      </w:r>
      <w:r w:rsidR="004E3660">
        <w:rPr>
          <w:rFonts w:ascii="Times New Roman" w:hint="eastAsia"/>
        </w:rPr>
        <w:t>，</w:t>
      </w:r>
      <w:r w:rsidRPr="009538F5">
        <w:rPr>
          <w:rFonts w:hAnsi="宋体" w:cs="宋体"/>
          <w:szCs w:val="21"/>
        </w:rPr>
        <w:t>根据</w:t>
      </w:r>
      <w:r w:rsidR="001F0743">
        <w:rPr>
          <w:rFonts w:hAnsi="宋体" w:cs="宋体" w:hint="eastAsia"/>
          <w:szCs w:val="21"/>
        </w:rPr>
        <w:t>测土配方施肥结果</w:t>
      </w:r>
      <w:r w:rsidRPr="009538F5">
        <w:rPr>
          <w:rFonts w:hAnsi="宋体" w:cs="宋体"/>
          <w:szCs w:val="21"/>
        </w:rPr>
        <w:t>、目标产量及品种需肥特性合理确定施用量。</w:t>
      </w:r>
      <w:r w:rsidR="00962A09" w:rsidRPr="00962A09">
        <w:rPr>
          <w:rFonts w:hAnsi="宋体" w:cs="宋体"/>
          <w:szCs w:val="21"/>
        </w:rPr>
        <w:t>肥料施用应符合NY/T 496的规定</w:t>
      </w:r>
      <w:r w:rsidR="00962A09">
        <w:rPr>
          <w:rFonts w:hAnsi="宋体" w:cs="宋体" w:hint="eastAsia"/>
          <w:szCs w:val="21"/>
        </w:rPr>
        <w:t>，</w:t>
      </w:r>
      <w:r w:rsidRPr="009538F5">
        <w:rPr>
          <w:rFonts w:hAnsi="宋体" w:cs="宋体"/>
          <w:szCs w:val="21"/>
        </w:rPr>
        <w:t>一般亩施缓释掺混肥35～45 kg，推荐N-P</w:t>
      </w:r>
      <w:r w:rsidRPr="009538F5">
        <w:rPr>
          <w:rFonts w:ascii="Cambria Math" w:hAnsi="Cambria Math" w:cs="Cambria Math"/>
          <w:szCs w:val="21"/>
        </w:rPr>
        <w:t>₂</w:t>
      </w:r>
      <w:r w:rsidRPr="009538F5">
        <w:rPr>
          <w:rFonts w:hAnsi="宋体" w:cs="宋体"/>
          <w:szCs w:val="21"/>
        </w:rPr>
        <w:t>O</w:t>
      </w:r>
      <w:r w:rsidRPr="009538F5">
        <w:rPr>
          <w:rFonts w:ascii="Cambria Math" w:hAnsi="Cambria Math" w:cs="Cambria Math"/>
          <w:szCs w:val="21"/>
        </w:rPr>
        <w:t>₅</w:t>
      </w:r>
      <w:r w:rsidRPr="009538F5">
        <w:rPr>
          <w:rFonts w:hAnsi="宋体" w:cs="宋体"/>
          <w:szCs w:val="21"/>
        </w:rPr>
        <w:t>-K</w:t>
      </w:r>
      <w:r w:rsidRPr="009538F5">
        <w:rPr>
          <w:rFonts w:ascii="Cambria Math" w:hAnsi="Cambria Math" w:cs="Cambria Math"/>
          <w:szCs w:val="21"/>
        </w:rPr>
        <w:t>₂</w:t>
      </w:r>
      <w:r w:rsidRPr="009538F5">
        <w:rPr>
          <w:rFonts w:hAnsi="宋体" w:cs="宋体"/>
          <w:szCs w:val="21"/>
        </w:rPr>
        <w:t>O配比为24-8-12或相近配方，其中缓释氮占总氮比例宜为50%～70%。在水稻移栽前结合旋耕整地一次性均匀撒施</w:t>
      </w:r>
      <w:r>
        <w:rPr>
          <w:rFonts w:hAnsi="宋体" w:cs="宋体" w:hint="eastAsia"/>
          <w:szCs w:val="21"/>
        </w:rPr>
        <w:t>。</w:t>
      </w:r>
    </w:p>
    <w:p w14:paraId="3D5A220F" w14:textId="744B9973" w:rsidR="009538F5" w:rsidRDefault="009538F5" w:rsidP="009538F5">
      <w:pPr>
        <w:pStyle w:val="a"/>
        <w:numPr>
          <w:ilvl w:val="0"/>
          <w:numId w:val="0"/>
        </w:numPr>
      </w:pPr>
      <w:r>
        <w:rPr>
          <w:rFonts w:hint="eastAsia"/>
        </w:rPr>
        <w:t>6  覆膜机插</w:t>
      </w:r>
    </w:p>
    <w:p w14:paraId="41317AAD" w14:textId="36C1416A" w:rsidR="009538F5" w:rsidRPr="004E3660" w:rsidRDefault="004E3660" w:rsidP="004E3660">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6</w:t>
      </w:r>
      <w:r w:rsidR="009538F5" w:rsidRPr="00387CC3">
        <w:rPr>
          <w:rFonts w:ascii="黑体" w:eastAsia="黑体" w:hAnsi="黑体" w:cs="黑体" w:hint="eastAsia"/>
          <w:szCs w:val="21"/>
        </w:rPr>
        <w:t>.</w:t>
      </w:r>
      <w:r w:rsidR="009538F5">
        <w:rPr>
          <w:rFonts w:ascii="黑体" w:eastAsia="黑体" w:hAnsi="黑体" w:cs="黑体" w:hint="eastAsia"/>
          <w:szCs w:val="21"/>
        </w:rPr>
        <w:t>1</w:t>
      </w:r>
      <w:r w:rsidR="009538F5" w:rsidRPr="00387CC3">
        <w:rPr>
          <w:rFonts w:ascii="黑体" w:eastAsia="黑体" w:hAnsi="黑体" w:cs="黑体" w:hint="eastAsia"/>
          <w:szCs w:val="21"/>
        </w:rPr>
        <w:t xml:space="preserve"> </w:t>
      </w:r>
      <w:r>
        <w:rPr>
          <w:rFonts w:ascii="黑体" w:eastAsia="黑体" w:hAnsi="黑体" w:cs="黑体" w:hint="eastAsia"/>
          <w:szCs w:val="21"/>
        </w:rPr>
        <w:t>覆膜方法</w:t>
      </w:r>
    </w:p>
    <w:p w14:paraId="223C2161" w14:textId="0457C8DC" w:rsidR="009538F5" w:rsidRPr="009A5BD9" w:rsidRDefault="004E3660" w:rsidP="004E3660">
      <w:pPr>
        <w:pStyle w:val="a8"/>
        <w:spacing w:beforeLines="100" w:before="312"/>
        <w:rPr>
          <w:rFonts w:hAnsi="宋体" w:cs="宋体" w:hint="eastAsia"/>
          <w:szCs w:val="21"/>
        </w:rPr>
      </w:pPr>
      <w:r w:rsidRPr="004E3660">
        <w:rPr>
          <w:rFonts w:hAnsi="宋体" w:cs="宋体"/>
          <w:szCs w:val="21"/>
        </w:rPr>
        <w:t>作业前检查地膜安装、展膜及压膜装置，合理调整机具行进速度和栽插参数。作业过程中保持地膜连续、平整并紧贴田面，避免褶皱、破损和漏铺；膜边及膜头、膜尾压实固定，防止风吹漂膜、移位及膜下积水，确保秧苗栽插均匀、直立稳固。</w:t>
      </w:r>
    </w:p>
    <w:p w14:paraId="77D95A9B" w14:textId="6197BFD7" w:rsidR="009538F5" w:rsidRPr="00387CC3" w:rsidRDefault="004E3660" w:rsidP="009538F5">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6</w:t>
      </w:r>
      <w:r w:rsidR="009538F5" w:rsidRPr="00387CC3">
        <w:rPr>
          <w:rFonts w:ascii="黑体" w:eastAsia="黑体" w:hAnsi="黑体" w:cs="黑体" w:hint="eastAsia"/>
          <w:szCs w:val="21"/>
        </w:rPr>
        <w:t>.</w:t>
      </w:r>
      <w:r w:rsidR="009538F5">
        <w:rPr>
          <w:rFonts w:ascii="黑体" w:eastAsia="黑体" w:hAnsi="黑体" w:cs="黑体" w:hint="eastAsia"/>
          <w:szCs w:val="21"/>
        </w:rPr>
        <w:t>2</w:t>
      </w:r>
      <w:r w:rsidR="009538F5" w:rsidRPr="00387CC3">
        <w:rPr>
          <w:rFonts w:ascii="黑体" w:eastAsia="黑体" w:hAnsi="黑体" w:cs="黑体" w:hint="eastAsia"/>
          <w:szCs w:val="21"/>
        </w:rPr>
        <w:t xml:space="preserve"> </w:t>
      </w:r>
      <w:r>
        <w:rPr>
          <w:rFonts w:ascii="黑体" w:eastAsia="黑体" w:hAnsi="黑体" w:cs="黑体" w:hint="eastAsia"/>
          <w:szCs w:val="21"/>
        </w:rPr>
        <w:t>机插密度</w:t>
      </w:r>
    </w:p>
    <w:p w14:paraId="6875DA60" w14:textId="68D88F96" w:rsidR="009538F5" w:rsidRDefault="004E3660" w:rsidP="009538F5">
      <w:pPr>
        <w:pStyle w:val="a8"/>
        <w:spacing w:beforeLines="100" w:before="312"/>
        <w:rPr>
          <w:rFonts w:hAnsi="宋体" w:cs="宋体" w:hint="eastAsia"/>
          <w:szCs w:val="21"/>
        </w:rPr>
      </w:pPr>
      <w:r w:rsidRPr="004E3660">
        <w:rPr>
          <w:rFonts w:hAnsi="宋体" w:cs="宋体"/>
          <w:szCs w:val="21"/>
        </w:rPr>
        <w:t>根据品种特性、秧苗素质及目标产量合理确定机插密度。</w:t>
      </w:r>
      <w:r w:rsidR="00962A09" w:rsidRPr="00962A09">
        <w:rPr>
          <w:rFonts w:hAnsi="宋体" w:cs="宋体"/>
          <w:szCs w:val="21"/>
        </w:rPr>
        <w:t>机插秧作业应符合NY/T 2192的规定</w:t>
      </w:r>
      <w:r w:rsidR="00962A09">
        <w:rPr>
          <w:rFonts w:hAnsi="宋体" w:cs="宋体" w:hint="eastAsia"/>
          <w:szCs w:val="21"/>
        </w:rPr>
        <w:t>，</w:t>
      </w:r>
      <w:r w:rsidRPr="004E3660">
        <w:rPr>
          <w:rFonts w:hAnsi="宋体" w:cs="宋体"/>
          <w:szCs w:val="21"/>
        </w:rPr>
        <w:t>一般行距控制在30 cm，株距10～14 cm，每穴栽插3～5苗，每亩基本苗约5～8万。分蘖力强的品种适当稀植，分蘖力弱或播栽期较迟的品种适当密植。</w:t>
      </w:r>
    </w:p>
    <w:p w14:paraId="447094EA" w14:textId="52B2EB56" w:rsidR="004E3660" w:rsidRDefault="003B2CF1" w:rsidP="004E3660">
      <w:pPr>
        <w:pStyle w:val="a"/>
        <w:numPr>
          <w:ilvl w:val="0"/>
          <w:numId w:val="0"/>
        </w:numPr>
      </w:pPr>
      <w:r>
        <w:rPr>
          <w:rFonts w:hint="eastAsia"/>
        </w:rPr>
        <w:t>7</w:t>
      </w:r>
      <w:r w:rsidR="004E3660">
        <w:rPr>
          <w:rFonts w:hint="eastAsia"/>
        </w:rPr>
        <w:t xml:space="preserve">  </w:t>
      </w:r>
      <w:r>
        <w:rPr>
          <w:rFonts w:hint="eastAsia"/>
        </w:rPr>
        <w:t>大田管理</w:t>
      </w:r>
    </w:p>
    <w:p w14:paraId="2E0DA1BC" w14:textId="1D21759A" w:rsidR="004E3660" w:rsidRPr="004E3660" w:rsidRDefault="00962A09" w:rsidP="004E3660">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7</w:t>
      </w:r>
      <w:r w:rsidR="004E3660" w:rsidRPr="00387CC3">
        <w:rPr>
          <w:rFonts w:ascii="黑体" w:eastAsia="黑体" w:hAnsi="黑体" w:cs="黑体" w:hint="eastAsia"/>
          <w:szCs w:val="21"/>
        </w:rPr>
        <w:t>.</w:t>
      </w:r>
      <w:r w:rsidR="004E3660">
        <w:rPr>
          <w:rFonts w:ascii="黑体" w:eastAsia="黑体" w:hAnsi="黑体" w:cs="黑体" w:hint="eastAsia"/>
          <w:szCs w:val="21"/>
        </w:rPr>
        <w:t>1</w:t>
      </w:r>
      <w:r w:rsidR="004E3660" w:rsidRPr="00387CC3">
        <w:rPr>
          <w:rFonts w:ascii="黑体" w:eastAsia="黑体" w:hAnsi="黑体" w:cs="黑体" w:hint="eastAsia"/>
          <w:szCs w:val="21"/>
        </w:rPr>
        <w:t xml:space="preserve"> </w:t>
      </w:r>
      <w:r w:rsidR="003B2CF1">
        <w:rPr>
          <w:rFonts w:ascii="黑体" w:eastAsia="黑体" w:hAnsi="黑体" w:cs="黑体" w:hint="eastAsia"/>
          <w:szCs w:val="21"/>
        </w:rPr>
        <w:t>返青分蘖期管理</w:t>
      </w:r>
    </w:p>
    <w:p w14:paraId="5C028322" w14:textId="75C94A80" w:rsidR="004E3660" w:rsidRPr="009A5BD9" w:rsidRDefault="003B2CF1" w:rsidP="004E3660">
      <w:pPr>
        <w:pStyle w:val="a8"/>
        <w:spacing w:beforeLines="100" w:before="312"/>
        <w:rPr>
          <w:rFonts w:hAnsi="宋体" w:cs="宋体" w:hint="eastAsia"/>
          <w:szCs w:val="21"/>
        </w:rPr>
      </w:pPr>
      <w:r w:rsidRPr="003B2CF1">
        <w:rPr>
          <w:rFonts w:hAnsi="宋体" w:cs="宋体"/>
          <w:szCs w:val="21"/>
        </w:rPr>
        <w:t>覆膜机插后及时查苗补苗，保持畦沟有水、膜面无长期积水，缺水时灌1 cm～2 cm浅水。有效分蘖期以湿润管理为主，达到预定有效穗数80%～90%时排水控蘖、适度晒田。底肥释放正常、叶色适宜时不追肥；明显脱肥时根据苗情和目标产量适量补氮。</w:t>
      </w:r>
    </w:p>
    <w:p w14:paraId="676DA762" w14:textId="250420A2" w:rsidR="004E3660" w:rsidRPr="00387CC3" w:rsidRDefault="00962A09" w:rsidP="004E3660">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7</w:t>
      </w:r>
      <w:r w:rsidR="004E3660" w:rsidRPr="00387CC3">
        <w:rPr>
          <w:rFonts w:ascii="黑体" w:eastAsia="黑体" w:hAnsi="黑体" w:cs="黑体" w:hint="eastAsia"/>
          <w:szCs w:val="21"/>
        </w:rPr>
        <w:t>.</w:t>
      </w:r>
      <w:r w:rsidR="004E3660">
        <w:rPr>
          <w:rFonts w:ascii="黑体" w:eastAsia="黑体" w:hAnsi="黑体" w:cs="黑体" w:hint="eastAsia"/>
          <w:szCs w:val="21"/>
        </w:rPr>
        <w:t>2</w:t>
      </w:r>
      <w:r w:rsidR="004E3660" w:rsidRPr="00387CC3">
        <w:rPr>
          <w:rFonts w:ascii="黑体" w:eastAsia="黑体" w:hAnsi="黑体" w:cs="黑体" w:hint="eastAsia"/>
          <w:szCs w:val="21"/>
        </w:rPr>
        <w:t xml:space="preserve"> </w:t>
      </w:r>
      <w:r w:rsidR="003B2CF1" w:rsidRPr="003B2CF1">
        <w:rPr>
          <w:rFonts w:ascii="黑体" w:eastAsia="黑体" w:hAnsi="黑体" w:cs="黑体"/>
          <w:szCs w:val="21"/>
        </w:rPr>
        <w:t>拔节孕穗期管理</w:t>
      </w:r>
    </w:p>
    <w:p w14:paraId="74BB5A5A" w14:textId="165A19EE" w:rsidR="004E3660" w:rsidRDefault="003B2CF1" w:rsidP="004E3660">
      <w:pPr>
        <w:pStyle w:val="a8"/>
        <w:spacing w:beforeLines="100" w:before="312"/>
        <w:rPr>
          <w:rFonts w:hAnsi="宋体" w:cs="宋体" w:hint="eastAsia"/>
          <w:szCs w:val="21"/>
        </w:rPr>
      </w:pPr>
      <w:r w:rsidRPr="003B2CF1">
        <w:rPr>
          <w:rFonts w:hAnsi="宋体" w:cs="宋体"/>
          <w:szCs w:val="21"/>
        </w:rPr>
        <w:t>拔节期保持土壤湿润，孕穗期宜保持1 cm～3 cm浅水层，</w:t>
      </w:r>
      <w:r>
        <w:rPr>
          <w:rFonts w:hAnsi="宋体" w:cs="宋体" w:hint="eastAsia"/>
          <w:szCs w:val="21"/>
        </w:rPr>
        <w:t>防止</w:t>
      </w:r>
      <w:r w:rsidRPr="003B2CF1">
        <w:rPr>
          <w:rFonts w:hAnsi="宋体" w:cs="宋体"/>
          <w:szCs w:val="21"/>
        </w:rPr>
        <w:t>受旱。倒3叶期诊断苗情和叶色，缺氮且预计影响产量时，可补施计划氮肥总量的10%～20%速效氮肥；缺钾田块补施剩余钾肥。</w:t>
      </w:r>
    </w:p>
    <w:p w14:paraId="38A7E048" w14:textId="712812AF" w:rsidR="003B2CF1" w:rsidRPr="00387CC3" w:rsidRDefault="00962A09" w:rsidP="003B2CF1">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7</w:t>
      </w:r>
      <w:r w:rsidR="003B2CF1" w:rsidRPr="00387CC3">
        <w:rPr>
          <w:rFonts w:ascii="黑体" w:eastAsia="黑体" w:hAnsi="黑体" w:cs="黑体" w:hint="eastAsia"/>
          <w:szCs w:val="21"/>
        </w:rPr>
        <w:t>.</w:t>
      </w:r>
      <w:r w:rsidR="003B2CF1">
        <w:rPr>
          <w:rFonts w:ascii="黑体" w:eastAsia="黑体" w:hAnsi="黑体" w:cs="黑体" w:hint="eastAsia"/>
          <w:szCs w:val="21"/>
        </w:rPr>
        <w:t>3</w:t>
      </w:r>
      <w:r w:rsidR="003B2CF1" w:rsidRPr="00387CC3">
        <w:rPr>
          <w:rFonts w:ascii="黑体" w:eastAsia="黑体" w:hAnsi="黑体" w:cs="黑体" w:hint="eastAsia"/>
          <w:szCs w:val="21"/>
        </w:rPr>
        <w:t xml:space="preserve"> </w:t>
      </w:r>
      <w:r w:rsidR="003B2CF1" w:rsidRPr="003B2CF1">
        <w:rPr>
          <w:rFonts w:ascii="黑体" w:eastAsia="黑体" w:hAnsi="黑体" w:cs="黑体"/>
          <w:szCs w:val="21"/>
        </w:rPr>
        <w:t>抽穗扬花</w:t>
      </w:r>
      <w:r w:rsidR="003B2CF1">
        <w:rPr>
          <w:rFonts w:ascii="黑体" w:eastAsia="黑体" w:hAnsi="黑体" w:cs="黑体" w:hint="eastAsia"/>
          <w:szCs w:val="21"/>
        </w:rPr>
        <w:t>期</w:t>
      </w:r>
      <w:r w:rsidR="003B2CF1" w:rsidRPr="003B2CF1">
        <w:rPr>
          <w:rFonts w:ascii="黑体" w:eastAsia="黑体" w:hAnsi="黑体" w:cs="黑体"/>
          <w:szCs w:val="21"/>
        </w:rPr>
        <w:t>管理</w:t>
      </w:r>
    </w:p>
    <w:p w14:paraId="4E28E198" w14:textId="067BCCBB" w:rsidR="00150C16" w:rsidRPr="003B2CF1" w:rsidRDefault="00485514" w:rsidP="00485514">
      <w:pPr>
        <w:pStyle w:val="a8"/>
        <w:spacing w:beforeLines="100" w:before="312"/>
        <w:rPr>
          <w:rFonts w:hAnsi="宋体" w:cs="宋体" w:hint="eastAsia"/>
          <w:szCs w:val="21"/>
        </w:rPr>
      </w:pPr>
      <w:r w:rsidRPr="00485514">
        <w:rPr>
          <w:rFonts w:hAnsi="宋体" w:cs="宋体"/>
          <w:szCs w:val="21"/>
        </w:rPr>
        <w:t>抽穗扬花期宜保持1 cm～3 cm浅水层，高温、低温或强风前后及时调节水层。</w:t>
      </w:r>
    </w:p>
    <w:p w14:paraId="1C593042" w14:textId="253C0B14" w:rsidR="00485514" w:rsidRPr="00387CC3" w:rsidRDefault="00962A09" w:rsidP="00485514">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7</w:t>
      </w:r>
      <w:r w:rsidR="00485514" w:rsidRPr="00387CC3">
        <w:rPr>
          <w:rFonts w:ascii="黑体" w:eastAsia="黑体" w:hAnsi="黑体" w:cs="黑体" w:hint="eastAsia"/>
          <w:szCs w:val="21"/>
        </w:rPr>
        <w:t>.</w:t>
      </w:r>
      <w:r w:rsidR="00485514">
        <w:rPr>
          <w:rFonts w:ascii="黑体" w:eastAsia="黑体" w:hAnsi="黑体" w:cs="黑体" w:hint="eastAsia"/>
          <w:szCs w:val="21"/>
        </w:rPr>
        <w:t>4</w:t>
      </w:r>
      <w:r w:rsidR="00485514" w:rsidRPr="00387CC3">
        <w:rPr>
          <w:rFonts w:ascii="黑体" w:eastAsia="黑体" w:hAnsi="黑体" w:cs="黑体" w:hint="eastAsia"/>
          <w:szCs w:val="21"/>
        </w:rPr>
        <w:t xml:space="preserve"> </w:t>
      </w:r>
      <w:r w:rsidR="00485514" w:rsidRPr="00485514">
        <w:rPr>
          <w:rFonts w:ascii="黑体" w:eastAsia="黑体" w:hAnsi="黑体" w:cs="黑体"/>
          <w:szCs w:val="21"/>
        </w:rPr>
        <w:t>灌浆</w:t>
      </w:r>
      <w:r w:rsidR="00485514">
        <w:rPr>
          <w:rFonts w:ascii="黑体" w:eastAsia="黑体" w:hAnsi="黑体" w:cs="黑体" w:hint="eastAsia"/>
          <w:szCs w:val="21"/>
        </w:rPr>
        <w:t>至成熟期</w:t>
      </w:r>
      <w:r w:rsidR="00485514" w:rsidRPr="00485514">
        <w:rPr>
          <w:rFonts w:ascii="黑体" w:eastAsia="黑体" w:hAnsi="黑体" w:cs="黑体"/>
          <w:szCs w:val="21"/>
        </w:rPr>
        <w:t>管理</w:t>
      </w:r>
    </w:p>
    <w:p w14:paraId="249D0D3A" w14:textId="4207FE38" w:rsidR="00485514" w:rsidRDefault="00485514" w:rsidP="00485514">
      <w:pPr>
        <w:pStyle w:val="a8"/>
        <w:spacing w:beforeLines="100" w:before="312"/>
        <w:rPr>
          <w:rFonts w:hAnsi="宋体" w:cs="宋体" w:hint="eastAsia"/>
          <w:szCs w:val="21"/>
        </w:rPr>
      </w:pPr>
      <w:r w:rsidRPr="00485514">
        <w:rPr>
          <w:rFonts w:hAnsi="宋体" w:cs="宋体"/>
          <w:szCs w:val="21"/>
        </w:rPr>
        <w:t>灌浆前期以湿为主，采取“浅水</w:t>
      </w:r>
      <w:r>
        <w:rPr>
          <w:rFonts w:hAnsi="宋体" w:cs="宋体" w:hint="eastAsia"/>
          <w:szCs w:val="21"/>
        </w:rPr>
        <w:t>-</w:t>
      </w:r>
      <w:r w:rsidRPr="00485514">
        <w:rPr>
          <w:rFonts w:hAnsi="宋体" w:cs="宋体"/>
          <w:szCs w:val="21"/>
        </w:rPr>
        <w:t>自然落干</w:t>
      </w:r>
      <w:r>
        <w:rPr>
          <w:rFonts w:hAnsi="宋体" w:cs="宋体" w:hint="eastAsia"/>
          <w:szCs w:val="21"/>
        </w:rPr>
        <w:t>-</w:t>
      </w:r>
      <w:r w:rsidRPr="00485514">
        <w:rPr>
          <w:rFonts w:hAnsi="宋体" w:cs="宋体"/>
          <w:szCs w:val="21"/>
        </w:rPr>
        <w:t>复浅水”的干湿交替管理</w:t>
      </w:r>
      <w:r>
        <w:rPr>
          <w:rFonts w:hAnsi="宋体" w:cs="宋体" w:hint="eastAsia"/>
          <w:szCs w:val="21"/>
        </w:rPr>
        <w:t>，可适量</w:t>
      </w:r>
      <w:r w:rsidRPr="00485514">
        <w:rPr>
          <w:rFonts w:hAnsi="宋体" w:cs="宋体"/>
          <w:szCs w:val="21"/>
        </w:rPr>
        <w:t>喷施磷酸二氢钾、氨基酸以及镁、锌等中微量元素叶面肥</w:t>
      </w:r>
      <w:r>
        <w:rPr>
          <w:rFonts w:hAnsi="宋体" w:cs="宋体" w:hint="eastAsia"/>
          <w:szCs w:val="21"/>
        </w:rPr>
        <w:t>促进灌浆</w:t>
      </w:r>
      <w:r w:rsidRPr="00485514">
        <w:rPr>
          <w:rFonts w:hAnsi="宋体" w:cs="宋体"/>
          <w:szCs w:val="21"/>
        </w:rPr>
        <w:t>。中后期逐步转为以干为主、以湿为辅，保持土壤湿润，避免长期积水。一般收获前7～10 d断水，漏水田适当延后。</w:t>
      </w:r>
    </w:p>
    <w:p w14:paraId="071169CD" w14:textId="0C5E173D" w:rsidR="000F0AFB" w:rsidRPr="00387CC3" w:rsidRDefault="00962A09" w:rsidP="000F0AFB">
      <w:pPr>
        <w:pStyle w:val="a8"/>
        <w:spacing w:beforeLines="100" w:before="312"/>
        <w:ind w:firstLineChars="0" w:firstLine="0"/>
        <w:rPr>
          <w:rFonts w:ascii="黑体" w:eastAsia="黑体" w:hAnsi="黑体" w:cs="黑体" w:hint="eastAsia"/>
          <w:szCs w:val="21"/>
        </w:rPr>
      </w:pPr>
      <w:r>
        <w:rPr>
          <w:rFonts w:ascii="黑体" w:eastAsia="黑体" w:hAnsi="黑体" w:cs="黑体" w:hint="eastAsia"/>
          <w:szCs w:val="21"/>
        </w:rPr>
        <w:t>7</w:t>
      </w:r>
      <w:r w:rsidR="000F0AFB" w:rsidRPr="00387CC3">
        <w:rPr>
          <w:rFonts w:ascii="黑体" w:eastAsia="黑体" w:hAnsi="黑体" w:cs="黑体" w:hint="eastAsia"/>
          <w:szCs w:val="21"/>
        </w:rPr>
        <w:t>.</w:t>
      </w:r>
      <w:r w:rsidR="000F0AFB">
        <w:rPr>
          <w:rFonts w:ascii="黑体" w:eastAsia="黑体" w:hAnsi="黑体" w:cs="黑体" w:hint="eastAsia"/>
          <w:szCs w:val="21"/>
        </w:rPr>
        <w:t>5</w:t>
      </w:r>
      <w:r w:rsidR="000F0AFB" w:rsidRPr="00387CC3">
        <w:rPr>
          <w:rFonts w:ascii="黑体" w:eastAsia="黑体" w:hAnsi="黑体" w:cs="黑体" w:hint="eastAsia"/>
          <w:szCs w:val="21"/>
        </w:rPr>
        <w:t xml:space="preserve"> </w:t>
      </w:r>
      <w:r w:rsidR="000F0AFB" w:rsidRPr="000F0AFB">
        <w:rPr>
          <w:rFonts w:ascii="黑体" w:eastAsia="黑体" w:hAnsi="黑体" w:cs="黑体"/>
          <w:szCs w:val="21"/>
        </w:rPr>
        <w:t>病虫草害管理</w:t>
      </w:r>
    </w:p>
    <w:p w14:paraId="060DC602" w14:textId="33DB82E3" w:rsidR="000F0AFB" w:rsidRPr="003B2CF1" w:rsidRDefault="000F0AFB" w:rsidP="000F0AFB">
      <w:pPr>
        <w:pStyle w:val="a8"/>
        <w:spacing w:beforeLines="100" w:before="312"/>
        <w:rPr>
          <w:rFonts w:hAnsi="宋体" w:cs="宋体" w:hint="eastAsia"/>
          <w:szCs w:val="21"/>
        </w:rPr>
      </w:pPr>
      <w:r w:rsidRPr="000F0AFB">
        <w:rPr>
          <w:rFonts w:hAnsi="宋体" w:cs="宋体"/>
          <w:szCs w:val="21"/>
        </w:rPr>
        <w:lastRenderedPageBreak/>
        <w:t>不进行封闭除草,后期根据田间草害情况局部除草</w:t>
      </w:r>
      <w:r>
        <w:rPr>
          <w:rFonts w:hAnsi="宋体" w:cs="宋体" w:hint="eastAsia"/>
          <w:szCs w:val="21"/>
        </w:rPr>
        <w:t>。</w:t>
      </w:r>
      <w:r w:rsidRPr="000F0AFB">
        <w:rPr>
          <w:rFonts w:hAnsi="宋体" w:cs="宋体"/>
          <w:szCs w:val="21"/>
        </w:rPr>
        <w:t>加强病虫害监测预警，坚持预防为主、综合防治，科学选用高效低风险农药，适期适量精准施药，农药使用应符合NY/T 1276的规定。</w:t>
      </w:r>
    </w:p>
    <w:p w14:paraId="79C26308" w14:textId="289EE592" w:rsidR="000F0AFB" w:rsidRDefault="000F0AFB" w:rsidP="000F0AFB">
      <w:pPr>
        <w:pStyle w:val="a"/>
        <w:numPr>
          <w:ilvl w:val="0"/>
          <w:numId w:val="0"/>
        </w:numPr>
      </w:pPr>
      <w:r>
        <w:rPr>
          <w:rFonts w:hint="eastAsia"/>
        </w:rPr>
        <w:t>8  适时</w:t>
      </w:r>
      <w:r w:rsidRPr="000F0AFB">
        <w:t>收获</w:t>
      </w:r>
    </w:p>
    <w:p w14:paraId="059ED932" w14:textId="7D24F1AB" w:rsidR="000F0AFB" w:rsidRPr="009A5BD9" w:rsidRDefault="000F0AFB" w:rsidP="000F0AFB">
      <w:pPr>
        <w:pStyle w:val="a8"/>
        <w:spacing w:beforeLines="100" w:before="312"/>
        <w:rPr>
          <w:rFonts w:hAnsi="宋体" w:cs="宋体" w:hint="eastAsia"/>
          <w:szCs w:val="21"/>
        </w:rPr>
      </w:pPr>
      <w:r w:rsidRPr="000F0AFB">
        <w:rPr>
          <w:rFonts w:hAnsi="宋体" w:cs="宋体"/>
          <w:szCs w:val="21"/>
        </w:rPr>
        <w:t>当大多数稻穗颖壳、小穗轴及护颖呈黄色，籽粒充分成熟，黄化完熟率达到95%以上时，应及时收获。</w:t>
      </w:r>
    </w:p>
    <w:p w14:paraId="05B6DEC2" w14:textId="77777777" w:rsidR="00A91A4A" w:rsidRDefault="00670D99">
      <w:pPr>
        <w:pStyle w:val="aa"/>
        <w:framePr w:wrap="around"/>
      </w:pPr>
      <w:r>
        <w:t>_________________________________</w:t>
      </w:r>
    </w:p>
    <w:p w14:paraId="538C7ACA" w14:textId="77777777" w:rsidR="00A91A4A" w:rsidRDefault="00A91A4A">
      <w:pPr>
        <w:widowControl/>
        <w:rPr>
          <w:rFonts w:ascii="Times New Roman" w:eastAsia="黑体" w:hAnsi="Times New Roman"/>
          <w:color w:val="000000"/>
          <w:kern w:val="0"/>
          <w:sz w:val="32"/>
          <w:szCs w:val="32"/>
        </w:rPr>
      </w:pPr>
    </w:p>
    <w:sectPr w:rsidR="00A91A4A">
      <w:headerReference w:type="default" r:id="rId11"/>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03B22" w14:textId="77777777" w:rsidR="00922D49" w:rsidRDefault="00922D49">
      <w:r>
        <w:separator/>
      </w:r>
    </w:p>
  </w:endnote>
  <w:endnote w:type="continuationSeparator" w:id="0">
    <w:p w14:paraId="2E4836C5" w14:textId="77777777" w:rsidR="00922D49" w:rsidRDefault="00922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8B64" w14:textId="77777777" w:rsidR="00A91A4A" w:rsidRDefault="00670D99">
    <w:pPr>
      <w:pStyle w:val="a4"/>
      <w:jc w:val="center"/>
    </w:pPr>
    <w:r>
      <w:rPr>
        <w:noProof/>
      </w:rPr>
      <mc:AlternateContent>
        <mc:Choice Requires="wps">
          <w:drawing>
            <wp:anchor distT="0" distB="0" distL="114300" distR="114300" simplePos="0" relativeHeight="251659264" behindDoc="0" locked="0" layoutInCell="1" allowOverlap="1" wp14:anchorId="6E48742A" wp14:editId="6C9D619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39B5C02" w14:textId="77777777" w:rsidR="00A91A4A" w:rsidRDefault="00670D99">
                          <w:pPr>
                            <w:pStyle w:val="a4"/>
                          </w:pPr>
                          <w:r>
                            <w:fldChar w:fldCharType="begin"/>
                          </w:r>
                          <w:r>
                            <w:instrText xml:space="preserve"> PAGE  \* MERGEFORMAT </w:instrText>
                          </w:r>
                          <w:r>
                            <w:fldChar w:fldCharType="separate"/>
                          </w:r>
                          <w:r w:rsidR="00E61499">
                            <w:rPr>
                              <w:noProof/>
                            </w:rP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48742A"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639B5C02" w14:textId="77777777" w:rsidR="00A91A4A" w:rsidRDefault="00670D99">
                    <w:pPr>
                      <w:pStyle w:val="a4"/>
                    </w:pPr>
                    <w:r>
                      <w:fldChar w:fldCharType="begin"/>
                    </w:r>
                    <w:r>
                      <w:instrText xml:space="preserve"> PAGE  \* MERGEFORMAT </w:instrText>
                    </w:r>
                    <w:r>
                      <w:fldChar w:fldCharType="separate"/>
                    </w:r>
                    <w:r w:rsidR="00E61499">
                      <w:rPr>
                        <w:noProof/>
                      </w:rPr>
                      <w:t>- 2 -</w:t>
                    </w:r>
                    <w:r>
                      <w:fldChar w:fldCharType="end"/>
                    </w:r>
                  </w:p>
                </w:txbxContent>
              </v:textbox>
              <w10:wrap anchorx="margin"/>
            </v:shape>
          </w:pict>
        </mc:Fallback>
      </mc:AlternateContent>
    </w:r>
  </w:p>
  <w:p w14:paraId="1A23577E" w14:textId="77777777" w:rsidR="00A91A4A" w:rsidRDefault="00A91A4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FD3F" w14:textId="77777777" w:rsidR="00A91A4A" w:rsidRDefault="00670D99">
    <w:pPr>
      <w:pStyle w:val="a4"/>
    </w:pPr>
    <w:r>
      <w:rPr>
        <w:noProof/>
      </w:rPr>
      <mc:AlternateContent>
        <mc:Choice Requires="wps">
          <w:drawing>
            <wp:anchor distT="0" distB="0" distL="114300" distR="114300" simplePos="0" relativeHeight="251660288" behindDoc="0" locked="0" layoutInCell="1" allowOverlap="1" wp14:anchorId="6CB60B76" wp14:editId="1EE2A8D4">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3D57866" w14:textId="77777777" w:rsidR="00A91A4A" w:rsidRDefault="00670D99">
                          <w:pPr>
                            <w:pStyle w:val="a4"/>
                          </w:pPr>
                          <w:r>
                            <w:fldChar w:fldCharType="begin"/>
                          </w:r>
                          <w:r>
                            <w:instrText xml:space="preserve"> PAGE  \* MERGEFORMAT </w:instrText>
                          </w:r>
                          <w:r>
                            <w:fldChar w:fldCharType="separate"/>
                          </w:r>
                          <w:r w:rsidR="00E61499">
                            <w:rPr>
                              <w:noProof/>
                            </w:rP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CB60B76"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" filled="f" fillcolor="white [3201]" stroked="f" strokeweight=".5pt">
              <v:textbox style="mso-fit-shape-to-text:t" inset="0,0,0,0">
                <w:txbxContent>
                  <w:p w14:paraId="73D57866" w14:textId="77777777" w:rsidR="00A91A4A" w:rsidRDefault="00670D99">
                    <w:pPr>
                      <w:pStyle w:val="a4"/>
                    </w:pPr>
                    <w:r>
                      <w:fldChar w:fldCharType="begin"/>
                    </w:r>
                    <w:r>
                      <w:instrText xml:space="preserve"> PAGE  \* MERGEFORMAT </w:instrText>
                    </w:r>
                    <w:r>
                      <w:fldChar w:fldCharType="separate"/>
                    </w:r>
                    <w:r w:rsidR="00E61499">
                      <w:rPr>
                        <w:noProof/>
                      </w:rPr>
                      <w:t>- 1 -</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383E" w14:textId="77777777" w:rsidR="00A91A4A" w:rsidRDefault="00670D99">
    <w:pPr>
      <w:pStyle w:val="a4"/>
      <w:jc w:val="center"/>
    </w:pPr>
    <w:r>
      <w:rPr>
        <w:noProof/>
      </w:rPr>
      <mc:AlternateContent>
        <mc:Choice Requires="wps">
          <w:drawing>
            <wp:anchor distT="0" distB="0" distL="114300" distR="114300" simplePos="0" relativeHeight="251661312" behindDoc="0" locked="0" layoutInCell="1" allowOverlap="1" wp14:anchorId="1B0910CB" wp14:editId="45D60F1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8B7718F" w14:textId="77777777" w:rsidR="00A91A4A" w:rsidRDefault="00670D99">
                          <w:pPr>
                            <w:pStyle w:val="a4"/>
                          </w:pPr>
                          <w:r>
                            <w:fldChar w:fldCharType="begin"/>
                          </w:r>
                          <w:r>
                            <w:instrText xml:space="preserve"> PAGE  \* MERGEFORMAT </w:instrText>
                          </w:r>
                          <w:r>
                            <w:fldChar w:fldCharType="separate"/>
                          </w:r>
                          <w:r>
                            <w:t>- 5 -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B0910CB" id="_x0000_t202" coordsize="21600,21600" o:spt="202" path="m,l,21600r21600,l21600,xe">
              <v:stroke joinstyle="miter"/>
              <v:path gradientshapeok="t" o:connecttype="rect"/>
            </v:shapetype>
            <v:shape id="文本框 5"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OVjmC5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p w14:paraId="38B7718F" w14:textId="77777777" w:rsidR="00A91A4A" w:rsidRDefault="00670D99">
                    <w:pPr>
                      <w:pStyle w:val="a4"/>
                    </w:pPr>
                    <w:r>
                      <w:fldChar w:fldCharType="begin"/>
                    </w:r>
                    <w:r>
                      <w:instrText xml:space="preserve"> PAGE  \* MERGEFORMAT </w:instrText>
                    </w:r>
                    <w:r>
                      <w:fldChar w:fldCharType="separate"/>
                    </w:r>
                    <w:r>
                      <w:t>- 5 -</w:t>
                    </w:r>
                    <w:r>
                      <w:fldChar w:fldCharType="end"/>
                    </w:r>
                  </w:p>
                </w:txbxContent>
              </v:textbox>
              <w10:wrap anchorx="margin"/>
            </v:shape>
          </w:pict>
        </mc:Fallback>
      </mc:AlternateContent>
    </w:r>
  </w:p>
  <w:p w14:paraId="15397BEA" w14:textId="77777777" w:rsidR="00A91A4A" w:rsidRDefault="00A91A4A">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358F" w14:textId="77777777" w:rsidR="00A91A4A" w:rsidRDefault="00670D99">
    <w:pPr>
      <w:pStyle w:val="ac"/>
    </w:pPr>
    <w:r>
      <w:rPr>
        <w:noProof/>
      </w:rPr>
      <mc:AlternateContent>
        <mc:Choice Requires="wps">
          <w:drawing>
            <wp:anchor distT="0" distB="0" distL="114300" distR="114300" simplePos="0" relativeHeight="251662336" behindDoc="0" locked="0" layoutInCell="1" allowOverlap="1" wp14:anchorId="400CD86A" wp14:editId="47D74129">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0AC516D" w14:textId="77777777" w:rsidR="00A91A4A" w:rsidRDefault="00670D99">
                          <w:pPr>
                            <w:pStyle w:val="a4"/>
                          </w:pPr>
                          <w:r>
                            <w:fldChar w:fldCharType="begin"/>
                          </w:r>
                          <w:r>
                            <w:instrText xml:space="preserve"> PAGE  \* MERGEFORMAT </w:instrText>
                          </w:r>
                          <w:r>
                            <w:fldChar w:fldCharType="separate"/>
                          </w:r>
                          <w:r w:rsidR="00E61499">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00CD86A" id="_x0000_t202" coordsize="21600,21600" o:spt="202" path="m,l,21600r21600,l21600,xe">
              <v:stroke joinstyle="miter"/>
              <v:path gradientshapeok="t" o:connecttype="rect"/>
            </v:shapetype>
            <v:shape id="文本框 7"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KXkX9V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p w14:paraId="50AC516D" w14:textId="77777777" w:rsidR="00A91A4A" w:rsidRDefault="00670D99">
                    <w:pPr>
                      <w:pStyle w:val="a4"/>
                    </w:pPr>
                    <w:r>
                      <w:fldChar w:fldCharType="begin"/>
                    </w:r>
                    <w:r>
                      <w:instrText xml:space="preserve"> PAGE  \* MERGEFORMAT </w:instrText>
                    </w:r>
                    <w:r>
                      <w:fldChar w:fldCharType="separate"/>
                    </w:r>
                    <w:r w:rsidR="00E61499">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F9D50" w14:textId="77777777" w:rsidR="00922D49" w:rsidRDefault="00922D49">
      <w:r>
        <w:separator/>
      </w:r>
    </w:p>
  </w:footnote>
  <w:footnote w:type="continuationSeparator" w:id="0">
    <w:p w14:paraId="20B53B97" w14:textId="77777777" w:rsidR="00922D49" w:rsidRDefault="00922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5F8C" w14:textId="77777777" w:rsidR="00A91A4A" w:rsidRDefault="00C52AC9">
    <w:pPr>
      <w:pStyle w:val="ab"/>
      <w:spacing w:after="0"/>
    </w:pPr>
    <w:r>
      <w:rPr>
        <w:rFonts w:hint="eastAsia"/>
      </w:rPr>
      <w:t>T</w:t>
    </w:r>
    <w:r w:rsidR="00670D99">
      <w:rPr>
        <w:rFonts w:hint="eastAsia"/>
      </w:rPr>
      <w:t>/</w:t>
    </w:r>
    <w:r>
      <w:rPr>
        <w:rFonts w:hint="eastAsia"/>
      </w:rPr>
      <w:t>JSBFA</w:t>
    </w:r>
    <w:r w:rsidR="00670D99">
      <w:rPr>
        <w:rFonts w:hint="eastAsia"/>
      </w:rPr>
      <w:t xml:space="preserve"> </w:t>
    </w:r>
    <w:r>
      <w:rPr>
        <w:rFonts w:hint="eastAsia"/>
      </w:rPr>
      <w:t xml:space="preserve"> </w:t>
    </w:r>
    <w:r w:rsidR="00670D99">
      <w:rPr>
        <w:rFonts w:hint="eastAsia"/>
      </w:rPr>
      <w:t>XXXX</w:t>
    </w:r>
    <w:r w:rsidR="00670D99">
      <w:t>—</w:t>
    </w:r>
    <w:r w:rsidR="00670D99">
      <w:t>20</w:t>
    </w:r>
    <w:r w:rsidR="00670D99">
      <w:rPr>
        <w:rFonts w:hint="eastAsia"/>
      </w:rPr>
      <w:t>2</w:t>
    </w:r>
    <w:r>
      <w:rPr>
        <w:rFonts w:hint="eastAsia"/>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16cid:durableId="1181163467">
    <w:abstractNumId w:val="0"/>
  </w:num>
  <w:num w:numId="2" w16cid:durableId="1631550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WVkNDIzM2E1ODU2N2E3NjNiNzJhNDQxMDIzNDQ2Y2QifQ=="/>
  </w:docVars>
  <w:rsids>
    <w:rsidRoot w:val="263A55D7"/>
    <w:rsid w:val="00027396"/>
    <w:rsid w:val="000F0AFB"/>
    <w:rsid w:val="00150C16"/>
    <w:rsid w:val="001A2234"/>
    <w:rsid w:val="001F0743"/>
    <w:rsid w:val="00247699"/>
    <w:rsid w:val="0030154D"/>
    <w:rsid w:val="0038692D"/>
    <w:rsid w:val="00387CC3"/>
    <w:rsid w:val="003B2CF1"/>
    <w:rsid w:val="003C422F"/>
    <w:rsid w:val="00421585"/>
    <w:rsid w:val="00485514"/>
    <w:rsid w:val="004E3660"/>
    <w:rsid w:val="00515F60"/>
    <w:rsid w:val="00670D99"/>
    <w:rsid w:val="008A4F16"/>
    <w:rsid w:val="00922D49"/>
    <w:rsid w:val="00937D47"/>
    <w:rsid w:val="009529D2"/>
    <w:rsid w:val="009538F5"/>
    <w:rsid w:val="00962A09"/>
    <w:rsid w:val="009A5BD9"/>
    <w:rsid w:val="00A91A4A"/>
    <w:rsid w:val="00B46E59"/>
    <w:rsid w:val="00B91B6C"/>
    <w:rsid w:val="00C52AC9"/>
    <w:rsid w:val="00D46B82"/>
    <w:rsid w:val="00DD11A0"/>
    <w:rsid w:val="00DE391E"/>
    <w:rsid w:val="00DF3B4D"/>
    <w:rsid w:val="00E61499"/>
    <w:rsid w:val="149B549C"/>
    <w:rsid w:val="1A802F17"/>
    <w:rsid w:val="1AB33062"/>
    <w:rsid w:val="263A55D7"/>
    <w:rsid w:val="29216576"/>
    <w:rsid w:val="49ED2E91"/>
    <w:rsid w:val="53D6A0C6"/>
    <w:rsid w:val="FEEE5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F07E567"/>
  <w15:docId w15:val="{5A055E21-2949-415E-9900-3FB9A8DF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Calibri" w:eastAsia="宋体" w:hAnsi="Calibri" w:cs="Times New Roman"/>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uiPriority w:val="99"/>
    <w:unhideWhenUsed/>
    <w:qFormat/>
    <w:pPr>
      <w:tabs>
        <w:tab w:val="center" w:pos="4153"/>
        <w:tab w:val="right" w:pos="8306"/>
      </w:tabs>
      <w:snapToGrid w:val="0"/>
      <w:jc w:val="left"/>
    </w:pPr>
    <w:rPr>
      <w:sz w:val="18"/>
      <w:szCs w:val="18"/>
    </w:rPr>
  </w:style>
  <w:style w:type="paragraph" w:styleId="a5">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a6">
    <w:name w:val="标准标志"/>
    <w:next w:val="a0"/>
    <w:qFormat/>
    <w:pPr>
      <w:framePr w:w="2546" w:h="1389" w:hRule="exact" w:hSpace="181" w:vSpace="181" w:wrap="around" w:hAnchor="margin" w:x="6522" w:y="398" w:anchorLock="1"/>
      <w:shd w:val="solid" w:color="FFFFFF" w:fill="FFFFFF"/>
      <w:spacing w:line="0" w:lineRule="atLeast"/>
      <w:jc w:val="right"/>
    </w:pPr>
    <w:rPr>
      <w:rFonts w:ascii="Times New Roman" w:eastAsia="宋体" w:hAnsi="Times New Roman" w:cs="Times New Roman"/>
      <w:b/>
      <w:w w:val="170"/>
      <w:sz w:val="96"/>
      <w:szCs w:val="96"/>
    </w:rPr>
  </w:style>
  <w:style w:type="paragraph" w:customStyle="1" w:styleId="2">
    <w:name w:val="封面标准号2"/>
    <w:qFormat/>
    <w:pPr>
      <w:framePr w:w="9140" w:h="1242" w:hRule="exact" w:hSpace="284" w:wrap="around" w:vAnchor="page" w:hAnchor="page" w:x="1645" w:y="2910" w:anchorLock="1"/>
      <w:spacing w:before="357" w:line="280" w:lineRule="exact"/>
      <w:jc w:val="right"/>
    </w:pPr>
    <w:rPr>
      <w:rFonts w:ascii="黑体" w:eastAsia="黑体" w:hAnsi="Times New Roman" w:cs="Times New Roman"/>
      <w:sz w:val="28"/>
      <w:szCs w:val="28"/>
    </w:rPr>
  </w:style>
  <w:style w:type="paragraph" w:customStyle="1" w:styleId="a7">
    <w:name w:val="前言、引言标题"/>
    <w:next w:val="a8"/>
    <w:qFormat/>
    <w:pPr>
      <w:keepNext/>
      <w:pageBreakBefore/>
      <w:shd w:val="clear" w:color="FFFFFF" w:fill="FFFFFF"/>
      <w:spacing w:before="640" w:after="560"/>
      <w:jc w:val="center"/>
      <w:outlineLvl w:val="0"/>
    </w:pPr>
    <w:rPr>
      <w:rFonts w:ascii="黑体" w:eastAsia="黑体" w:hAnsi="Times New Roman" w:cs="Times New Roman"/>
      <w:sz w:val="32"/>
    </w:rPr>
  </w:style>
  <w:style w:type="paragraph" w:customStyle="1" w:styleId="a8">
    <w:name w:val="段"/>
    <w:qFormat/>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paragraph" w:customStyle="1" w:styleId="a9">
    <w:name w:val="目次、标准名称标题"/>
    <w:basedOn w:val="a0"/>
    <w:next w:val="a8"/>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
    <w:name w:val="章标题"/>
    <w:next w:val="a8"/>
    <w:qFormat/>
    <w:pPr>
      <w:numPr>
        <w:numId w:val="1"/>
      </w:numPr>
      <w:spacing w:beforeLines="100" w:before="312" w:afterLines="100" w:after="312"/>
      <w:jc w:val="both"/>
      <w:outlineLvl w:val="1"/>
    </w:pPr>
    <w:rPr>
      <w:rFonts w:ascii="黑体" w:eastAsia="黑体" w:hAnsi="Times New Roman" w:cs="Times New Roman"/>
      <w:sz w:val="21"/>
    </w:rPr>
  </w:style>
  <w:style w:type="paragraph" w:customStyle="1" w:styleId="aa">
    <w:name w:val="终结线"/>
    <w:basedOn w:val="a0"/>
    <w:qFormat/>
    <w:pPr>
      <w:framePr w:hSpace="181" w:vSpace="181" w:wrap="around" w:vAnchor="text" w:hAnchor="margin" w:xAlign="center" w:y="285"/>
    </w:pPr>
  </w:style>
  <w:style w:type="paragraph" w:customStyle="1" w:styleId="ab">
    <w:name w:val="标准书眉_奇数页"/>
    <w:next w:val="a0"/>
    <w:qFormat/>
    <w:pPr>
      <w:tabs>
        <w:tab w:val="center" w:pos="4154"/>
        <w:tab w:val="right" w:pos="8306"/>
      </w:tabs>
      <w:spacing w:after="220"/>
      <w:jc w:val="right"/>
    </w:pPr>
    <w:rPr>
      <w:rFonts w:ascii="黑体" w:eastAsia="黑体" w:hAnsi="Times New Roman" w:cs="Times New Roman"/>
      <w:sz w:val="21"/>
      <w:szCs w:val="21"/>
    </w:rPr>
  </w:style>
  <w:style w:type="paragraph" w:customStyle="1" w:styleId="ac">
    <w:name w:val="标准书脚_奇数页"/>
    <w:qFormat/>
    <w:pPr>
      <w:spacing w:before="120"/>
      <w:ind w:right="198"/>
      <w:jc w:val="right"/>
    </w:pPr>
    <w:rPr>
      <w:rFonts w:ascii="宋体" w:eastAsia="宋体" w:hAnsi="Times New Roman" w:cs="Times New Roman"/>
      <w:sz w:val="18"/>
      <w:szCs w:val="18"/>
    </w:rPr>
  </w:style>
  <w:style w:type="table" w:styleId="ad">
    <w:name w:val="Table Grid"/>
    <w:basedOn w:val="a2"/>
    <w:rsid w:val="00150C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470</Words>
  <Characters>2684</Characters>
  <Application>Microsoft Office Word</Application>
  <DocSecurity>0</DocSecurity>
  <Lines>22</Lines>
  <Paragraphs>6</Paragraphs>
  <ScaleCrop>false</ScaleCrop>
  <Company>China</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云海</dc:creator>
  <cp:lastModifiedBy>T S</cp:lastModifiedBy>
  <cp:revision>10</cp:revision>
  <cp:lastPrinted>2023-09-08T15:10:00Z</cp:lastPrinted>
  <dcterms:created xsi:type="dcterms:W3CDTF">2021-11-02T18:55:00Z</dcterms:created>
  <dcterms:modified xsi:type="dcterms:W3CDTF">2026-09-17T09:16:00Z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A55576195EA74C7A9AC53E9D8F6C4C37</vt:lpwstr>
  </property>
</Properties>
</file>